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73E3B">
      <w:pPr>
        <w:spacing w:line="360" w:lineRule="auto"/>
        <w:rPr>
          <w:lang w:val="zh-CN"/>
        </w:rPr>
      </w:pPr>
    </w:p>
    <w:p w14:paraId="499973B9">
      <w:pPr>
        <w:pStyle w:val="19"/>
        <w:spacing w:before="0" w:line="360" w:lineRule="auto"/>
        <w:jc w:val="center"/>
        <w:rPr>
          <w:rFonts w:ascii="方正小标宋简体" w:eastAsia="方正小标宋简体"/>
          <w:color w:val="000000"/>
          <w:sz w:val="52"/>
          <w:szCs w:val="52"/>
          <w:lang w:val="zh-CN"/>
        </w:rPr>
      </w:pPr>
      <w:bookmarkStart w:id="0" w:name="_Toc22456"/>
      <w:bookmarkStart w:id="1" w:name="_Toc22634"/>
      <w:bookmarkStart w:id="2" w:name="_Toc617"/>
      <w:r>
        <w:rPr>
          <w:rFonts w:hint="eastAsia" w:ascii="方正小标宋简体" w:eastAsia="方正小标宋简体"/>
          <w:color w:val="000000"/>
          <w:sz w:val="52"/>
          <w:szCs w:val="52"/>
          <w:lang w:val="zh-CN"/>
        </w:rPr>
        <w:t>202</w:t>
      </w:r>
      <w:r>
        <w:rPr>
          <w:rFonts w:hint="eastAsia" w:ascii="方正小标宋简体" w:eastAsia="方正小标宋简体"/>
          <w:color w:val="000000"/>
          <w:sz w:val="52"/>
          <w:szCs w:val="52"/>
          <w:lang w:val="en-US" w:eastAsia="zh-CN"/>
        </w:rPr>
        <w:t>5</w:t>
      </w:r>
      <w:r>
        <w:rPr>
          <w:rFonts w:hint="eastAsia" w:ascii="方正小标宋简体" w:eastAsia="方正小标宋简体"/>
          <w:color w:val="000000"/>
          <w:sz w:val="52"/>
          <w:szCs w:val="52"/>
          <w:lang w:val="zh-CN"/>
        </w:rPr>
        <w:t>年度校级质量工程项目</w:t>
      </w:r>
      <w:bookmarkEnd w:id="0"/>
      <w:bookmarkEnd w:id="1"/>
      <w:bookmarkEnd w:id="2"/>
    </w:p>
    <w:p w14:paraId="1F3A21E0">
      <w:pPr>
        <w:spacing w:line="360" w:lineRule="auto"/>
        <w:jc w:val="center"/>
        <w:rPr>
          <w:b/>
          <w:sz w:val="84"/>
          <w:szCs w:val="84"/>
          <w:lang w:val="zh-CN"/>
        </w:rPr>
      </w:pPr>
    </w:p>
    <w:p w14:paraId="2FAC8BCA">
      <w:pPr>
        <w:spacing w:line="360" w:lineRule="auto"/>
        <w:jc w:val="center"/>
        <w:rPr>
          <w:b/>
          <w:sz w:val="84"/>
          <w:szCs w:val="84"/>
          <w:lang w:val="zh-CN"/>
        </w:rPr>
      </w:pPr>
      <w:r>
        <w:rPr>
          <w:rFonts w:hint="eastAsia"/>
          <w:b/>
          <w:sz w:val="84"/>
          <w:szCs w:val="84"/>
          <w:lang w:val="zh-CN"/>
        </w:rPr>
        <w:t>申</w:t>
      </w:r>
    </w:p>
    <w:p w14:paraId="008D754A">
      <w:pPr>
        <w:spacing w:line="360" w:lineRule="auto"/>
        <w:jc w:val="center"/>
        <w:rPr>
          <w:b/>
          <w:sz w:val="84"/>
          <w:szCs w:val="84"/>
          <w:lang w:val="zh-CN"/>
        </w:rPr>
      </w:pPr>
      <w:r>
        <w:rPr>
          <w:rFonts w:hint="eastAsia"/>
          <w:b/>
          <w:sz w:val="84"/>
          <w:szCs w:val="84"/>
          <w:lang w:val="zh-CN"/>
        </w:rPr>
        <w:t>报</w:t>
      </w:r>
    </w:p>
    <w:p w14:paraId="7064A868">
      <w:pPr>
        <w:spacing w:line="360" w:lineRule="auto"/>
        <w:jc w:val="center"/>
        <w:rPr>
          <w:b/>
          <w:sz w:val="84"/>
          <w:szCs w:val="84"/>
          <w:lang w:val="zh-CN"/>
        </w:rPr>
      </w:pPr>
      <w:r>
        <w:rPr>
          <w:rFonts w:hint="eastAsia"/>
          <w:b/>
          <w:sz w:val="84"/>
          <w:szCs w:val="84"/>
          <w:lang w:val="zh-CN"/>
        </w:rPr>
        <w:t>指</w:t>
      </w:r>
    </w:p>
    <w:p w14:paraId="5E0AD654">
      <w:pPr>
        <w:spacing w:line="360" w:lineRule="auto"/>
        <w:jc w:val="center"/>
        <w:rPr>
          <w:b/>
          <w:sz w:val="84"/>
          <w:szCs w:val="84"/>
          <w:lang w:val="zh-CN"/>
        </w:rPr>
      </w:pPr>
      <w:r>
        <w:rPr>
          <w:rFonts w:hint="eastAsia"/>
          <w:b/>
          <w:sz w:val="84"/>
          <w:szCs w:val="84"/>
          <w:lang w:val="zh-CN"/>
        </w:rPr>
        <w:t>南</w:t>
      </w:r>
    </w:p>
    <w:p w14:paraId="5E0F8103">
      <w:pPr>
        <w:spacing w:line="360" w:lineRule="auto"/>
        <w:jc w:val="center"/>
        <w:rPr>
          <w:b/>
          <w:sz w:val="32"/>
          <w:szCs w:val="32"/>
        </w:rPr>
      </w:pPr>
    </w:p>
    <w:p w14:paraId="05DCFF90">
      <w:pPr>
        <w:spacing w:line="360" w:lineRule="auto"/>
        <w:jc w:val="center"/>
        <w:rPr>
          <w:b/>
          <w:sz w:val="32"/>
          <w:szCs w:val="32"/>
        </w:rPr>
      </w:pPr>
    </w:p>
    <w:p w14:paraId="194076E3">
      <w:pPr>
        <w:spacing w:line="360" w:lineRule="auto"/>
        <w:jc w:val="center"/>
        <w:rPr>
          <w:b/>
          <w:sz w:val="32"/>
          <w:szCs w:val="32"/>
        </w:rPr>
      </w:pPr>
    </w:p>
    <w:p w14:paraId="029E0E26">
      <w:pPr>
        <w:spacing w:line="360" w:lineRule="auto"/>
        <w:jc w:val="center"/>
        <w:rPr>
          <w:b/>
          <w:sz w:val="32"/>
          <w:szCs w:val="32"/>
        </w:rPr>
      </w:pPr>
    </w:p>
    <w:p w14:paraId="014FAF79">
      <w:pPr>
        <w:spacing w:line="360" w:lineRule="auto"/>
        <w:jc w:val="center"/>
        <w:rPr>
          <w:b/>
          <w:sz w:val="32"/>
          <w:szCs w:val="32"/>
        </w:rPr>
      </w:pPr>
      <w:r>
        <w:rPr>
          <w:rFonts w:hint="eastAsia"/>
          <w:b/>
          <w:sz w:val="32"/>
          <w:szCs w:val="32"/>
        </w:rPr>
        <w:t>安徽建筑大学制</w:t>
      </w:r>
    </w:p>
    <w:p w14:paraId="6C1093A9">
      <w:pPr>
        <w:spacing w:line="360" w:lineRule="auto"/>
        <w:jc w:val="center"/>
        <w:rPr>
          <w:b/>
          <w:sz w:val="32"/>
          <w:szCs w:val="32"/>
        </w:rPr>
      </w:pPr>
      <w:r>
        <w:rPr>
          <w:rFonts w:hint="eastAsia"/>
          <w:b/>
          <w:sz w:val="32"/>
          <w:szCs w:val="32"/>
        </w:rPr>
        <w:t>202</w:t>
      </w:r>
      <w:r>
        <w:rPr>
          <w:rFonts w:hint="eastAsia"/>
          <w:b/>
          <w:sz w:val="32"/>
          <w:szCs w:val="32"/>
          <w:lang w:val="en-US" w:eastAsia="zh-CN"/>
        </w:rPr>
        <w:t>5</w:t>
      </w:r>
      <w:r>
        <w:rPr>
          <w:rFonts w:hint="eastAsia"/>
          <w:b/>
          <w:sz w:val="32"/>
          <w:szCs w:val="32"/>
        </w:rPr>
        <w:t>年1</w:t>
      </w:r>
      <w:r>
        <w:rPr>
          <w:rFonts w:hint="eastAsia"/>
          <w:b/>
          <w:sz w:val="32"/>
          <w:szCs w:val="32"/>
          <w:lang w:val="en-US" w:eastAsia="zh-CN"/>
        </w:rPr>
        <w:t>1</w:t>
      </w:r>
      <w:r>
        <w:rPr>
          <w:rFonts w:hint="eastAsia"/>
          <w:b/>
          <w:sz w:val="32"/>
          <w:szCs w:val="32"/>
        </w:rPr>
        <w:t>月</w:t>
      </w:r>
    </w:p>
    <w:p w14:paraId="32C80196">
      <w:pPr>
        <w:pStyle w:val="19"/>
        <w:spacing w:before="0" w:line="360" w:lineRule="auto"/>
        <w:rPr>
          <w:rFonts w:ascii="仿宋_GB2312" w:eastAsia="仿宋_GB2312"/>
          <w:color w:val="000000"/>
        </w:rPr>
      </w:pPr>
      <w:r>
        <w:rPr>
          <w:rFonts w:hint="eastAsia" w:ascii="仿宋_GB2312" w:eastAsia="仿宋_GB2312"/>
          <w:color w:val="000000"/>
        </w:rPr>
        <w:t xml:space="preserve"> </w:t>
      </w:r>
    </w:p>
    <w:p w14:paraId="1EABBC62">
      <w:pPr>
        <w:pStyle w:val="13"/>
        <w:spacing w:before="0" w:beforeAutospacing="0" w:after="0" w:afterAutospacing="0" w:line="500" w:lineRule="exact"/>
        <w:ind w:firstLine="560" w:firstLineChars="200"/>
        <w:rPr>
          <w:rFonts w:ascii="仿宋_GB2312" w:eastAsia="仿宋_GB2312"/>
          <w:color w:val="000000"/>
          <w:sz w:val="28"/>
          <w:szCs w:val="28"/>
        </w:rPr>
        <w:sectPr>
          <w:headerReference r:id="rId4" w:type="first"/>
          <w:headerReference r:id="rId3" w:type="default"/>
          <w:footerReference r:id="rId5" w:type="default"/>
          <w:footerReference r:id="rId6" w:type="even"/>
          <w:pgSz w:w="11906" w:h="16838"/>
          <w:pgMar w:top="1440" w:right="1800" w:bottom="1440" w:left="1800" w:header="851" w:footer="992" w:gutter="0"/>
          <w:pgNumType w:start="1"/>
          <w:cols w:space="720" w:num="1"/>
          <w:titlePg/>
          <w:docGrid w:type="lines" w:linePitch="312" w:charSpace="0"/>
        </w:sectPr>
      </w:pPr>
    </w:p>
    <w:p w14:paraId="5D74801A">
      <w:pPr>
        <w:pStyle w:val="24"/>
        <w:jc w:val="center"/>
        <w:rPr>
          <w:rFonts w:ascii="宋体" w:hAnsi="宋体" w:eastAsia="宋体"/>
          <w:color w:val="auto"/>
          <w:sz w:val="44"/>
          <w:szCs w:val="44"/>
          <w:lang w:val="zh-CN"/>
        </w:rPr>
      </w:pPr>
      <w:r>
        <w:rPr>
          <w:rFonts w:hint="eastAsia" w:ascii="宋体" w:hAnsi="宋体" w:eastAsia="宋体"/>
          <w:color w:val="auto"/>
          <w:sz w:val="44"/>
          <w:szCs w:val="44"/>
          <w:lang w:val="zh-CN"/>
        </w:rPr>
        <w:t>目  录</w:t>
      </w:r>
    </w:p>
    <w:p w14:paraId="7AEF5B1F">
      <w:pPr>
        <w:rPr>
          <w:rFonts w:ascii="仿宋" w:hAnsi="仿宋" w:eastAsia="仿宋"/>
          <w:sz w:val="32"/>
          <w:szCs w:val="32"/>
        </w:rPr>
      </w:pPr>
    </w:p>
    <w:p w14:paraId="73B7BDC1">
      <w:pPr>
        <w:pStyle w:val="11"/>
        <w:keepNext w:val="0"/>
        <w:keepLines w:val="0"/>
        <w:pageBreakBefore w:val="0"/>
        <w:widowControl w:val="0"/>
        <w:tabs>
          <w:tab w:val="right" w:leader="dot" w:pos="830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TOC \o "1-3" \h \z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_Toc24937 </w:instrText>
      </w:r>
      <w:r>
        <w:rPr>
          <w:rFonts w:hint="eastAsia" w:ascii="仿宋" w:hAnsi="仿宋" w:eastAsia="仿宋" w:cs="仿宋"/>
          <w:sz w:val="32"/>
          <w:szCs w:val="32"/>
        </w:rPr>
        <w:fldChar w:fldCharType="separate"/>
      </w:r>
      <w:r>
        <w:rPr>
          <w:rFonts w:hint="eastAsia" w:ascii="黑体" w:hAnsi="黑体" w:eastAsia="黑体"/>
          <w:kern w:val="0"/>
          <w:sz w:val="32"/>
          <w:szCs w:val="32"/>
        </w:rPr>
        <w:t>1</w:t>
      </w:r>
      <w:r>
        <w:rPr>
          <w:rFonts w:ascii="黑体" w:hAnsi="黑体" w:eastAsia="黑体"/>
          <w:kern w:val="0"/>
          <w:sz w:val="32"/>
          <w:szCs w:val="32"/>
        </w:rPr>
        <w:t>.</w:t>
      </w:r>
      <w:r>
        <w:rPr>
          <w:rFonts w:hint="eastAsia" w:ascii="黑体" w:hAnsi="黑体" w:eastAsia="黑体"/>
          <w:kern w:val="0"/>
          <w:sz w:val="32"/>
          <w:szCs w:val="32"/>
        </w:rPr>
        <w:t>课程建设</w:t>
      </w:r>
      <w:r>
        <w:rPr>
          <w:sz w:val="32"/>
          <w:szCs w:val="32"/>
        </w:rPr>
        <w:tab/>
      </w:r>
      <w:r>
        <w:rPr>
          <w:sz w:val="32"/>
          <w:szCs w:val="32"/>
        </w:rPr>
        <w:fldChar w:fldCharType="begin"/>
      </w:r>
      <w:r>
        <w:rPr>
          <w:sz w:val="32"/>
          <w:szCs w:val="32"/>
        </w:rPr>
        <w:instrText xml:space="preserve"> PAGEREF _Toc24937 \h </w:instrText>
      </w:r>
      <w:r>
        <w:rPr>
          <w:sz w:val="32"/>
          <w:szCs w:val="32"/>
        </w:rPr>
        <w:fldChar w:fldCharType="separate"/>
      </w:r>
      <w:r>
        <w:rPr>
          <w:sz w:val="32"/>
          <w:szCs w:val="32"/>
        </w:rPr>
        <w:t>1</w:t>
      </w:r>
      <w:r>
        <w:rPr>
          <w:sz w:val="32"/>
          <w:szCs w:val="32"/>
        </w:rPr>
        <w:fldChar w:fldCharType="end"/>
      </w:r>
      <w:r>
        <w:rPr>
          <w:rFonts w:hint="eastAsia" w:ascii="仿宋" w:hAnsi="仿宋" w:eastAsia="仿宋" w:cs="仿宋"/>
          <w:sz w:val="32"/>
          <w:szCs w:val="32"/>
        </w:rPr>
        <w:fldChar w:fldCharType="end"/>
      </w:r>
    </w:p>
    <w:p w14:paraId="5311E33D">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_Toc6405 </w:instrText>
      </w:r>
      <w:r>
        <w:rPr>
          <w:rFonts w:hint="eastAsia" w:ascii="仿宋" w:hAnsi="仿宋" w:eastAsia="仿宋" w:cs="仿宋"/>
          <w:sz w:val="32"/>
          <w:szCs w:val="32"/>
        </w:rPr>
        <w:fldChar w:fldCharType="separate"/>
      </w:r>
      <w:r>
        <w:rPr>
          <w:rFonts w:hint="eastAsia" w:ascii="仿宋" w:hAnsi="仿宋" w:eastAsia="仿宋"/>
          <w:kern w:val="0"/>
          <w:sz w:val="32"/>
          <w:szCs w:val="32"/>
          <w:lang w:val="en-US" w:eastAsia="zh-CN"/>
        </w:rPr>
        <w:t>1-1</w:t>
      </w:r>
      <w:r>
        <w:rPr>
          <w:rFonts w:hint="eastAsia" w:ascii="仿宋" w:hAnsi="仿宋" w:eastAsia="仿宋"/>
          <w:kern w:val="0"/>
          <w:sz w:val="32"/>
          <w:szCs w:val="32"/>
        </w:rPr>
        <w:t xml:space="preserve"> 智慧课程</w:t>
      </w:r>
      <w:r>
        <w:rPr>
          <w:sz w:val="32"/>
          <w:szCs w:val="32"/>
        </w:rPr>
        <w:tab/>
      </w:r>
      <w:r>
        <w:rPr>
          <w:sz w:val="32"/>
          <w:szCs w:val="32"/>
        </w:rPr>
        <w:fldChar w:fldCharType="begin"/>
      </w:r>
      <w:r>
        <w:rPr>
          <w:sz w:val="32"/>
          <w:szCs w:val="32"/>
        </w:rPr>
        <w:instrText xml:space="preserve"> PAGEREF _Toc6405 \h </w:instrText>
      </w:r>
      <w:r>
        <w:rPr>
          <w:sz w:val="32"/>
          <w:szCs w:val="32"/>
        </w:rPr>
        <w:fldChar w:fldCharType="separate"/>
      </w:r>
      <w:r>
        <w:rPr>
          <w:sz w:val="32"/>
          <w:szCs w:val="32"/>
        </w:rPr>
        <w:t>1</w:t>
      </w:r>
      <w:r>
        <w:rPr>
          <w:sz w:val="32"/>
          <w:szCs w:val="32"/>
        </w:rPr>
        <w:fldChar w:fldCharType="end"/>
      </w:r>
      <w:r>
        <w:rPr>
          <w:rFonts w:hint="eastAsia" w:ascii="仿宋" w:hAnsi="仿宋" w:eastAsia="仿宋" w:cs="仿宋"/>
          <w:sz w:val="32"/>
          <w:szCs w:val="32"/>
        </w:rPr>
        <w:fldChar w:fldCharType="end"/>
      </w:r>
    </w:p>
    <w:p w14:paraId="426C8BD6">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_Toc27192 </w:instrText>
      </w:r>
      <w:r>
        <w:rPr>
          <w:rFonts w:hint="eastAsia" w:ascii="仿宋" w:hAnsi="仿宋" w:eastAsia="仿宋" w:cs="仿宋"/>
          <w:sz w:val="32"/>
          <w:szCs w:val="32"/>
        </w:rPr>
        <w:fldChar w:fldCharType="separate"/>
      </w:r>
      <w:r>
        <w:rPr>
          <w:rFonts w:hint="eastAsia" w:ascii="仿宋" w:hAnsi="仿宋" w:eastAsia="仿宋"/>
          <w:kern w:val="0"/>
          <w:sz w:val="32"/>
          <w:szCs w:val="32"/>
          <w:lang w:val="en-US" w:eastAsia="zh-CN"/>
        </w:rPr>
        <w:t>1-2 人工智能通识课程</w:t>
      </w:r>
      <w:r>
        <w:rPr>
          <w:sz w:val="32"/>
          <w:szCs w:val="32"/>
        </w:rPr>
        <w:tab/>
      </w:r>
      <w:r>
        <w:rPr>
          <w:sz w:val="32"/>
          <w:szCs w:val="32"/>
        </w:rPr>
        <w:fldChar w:fldCharType="begin"/>
      </w:r>
      <w:r>
        <w:rPr>
          <w:sz w:val="32"/>
          <w:szCs w:val="32"/>
        </w:rPr>
        <w:instrText xml:space="preserve"> PAGEREF _Toc27192 \h </w:instrText>
      </w:r>
      <w:r>
        <w:rPr>
          <w:sz w:val="32"/>
          <w:szCs w:val="32"/>
        </w:rPr>
        <w:fldChar w:fldCharType="separate"/>
      </w:r>
      <w:r>
        <w:rPr>
          <w:sz w:val="32"/>
          <w:szCs w:val="32"/>
        </w:rPr>
        <w:t>3</w:t>
      </w:r>
      <w:r>
        <w:rPr>
          <w:sz w:val="32"/>
          <w:szCs w:val="32"/>
        </w:rPr>
        <w:fldChar w:fldCharType="end"/>
      </w:r>
      <w:r>
        <w:rPr>
          <w:rFonts w:hint="eastAsia" w:ascii="仿宋" w:hAnsi="仿宋" w:eastAsia="仿宋" w:cs="仿宋"/>
          <w:sz w:val="32"/>
          <w:szCs w:val="32"/>
        </w:rPr>
        <w:fldChar w:fldCharType="end"/>
      </w:r>
    </w:p>
    <w:p w14:paraId="43132A59">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_Toc16570 </w:instrText>
      </w:r>
      <w:r>
        <w:rPr>
          <w:rFonts w:hint="eastAsia" w:ascii="仿宋" w:hAnsi="仿宋" w:eastAsia="仿宋" w:cs="仿宋"/>
          <w:sz w:val="32"/>
          <w:szCs w:val="32"/>
        </w:rPr>
        <w:fldChar w:fldCharType="separate"/>
      </w:r>
      <w:r>
        <w:rPr>
          <w:rFonts w:hint="eastAsia" w:ascii="仿宋" w:hAnsi="仿宋" w:eastAsia="仿宋"/>
          <w:kern w:val="0"/>
          <w:sz w:val="32"/>
          <w:szCs w:val="32"/>
          <w:lang w:val="en-US" w:eastAsia="zh-CN"/>
        </w:rPr>
        <w:t>1-3 “行业企业课程资源库”“真实项目案例库”</w:t>
      </w:r>
      <w:r>
        <w:rPr>
          <w:sz w:val="32"/>
          <w:szCs w:val="32"/>
        </w:rPr>
        <w:tab/>
      </w:r>
      <w:r>
        <w:rPr>
          <w:sz w:val="32"/>
          <w:szCs w:val="32"/>
        </w:rPr>
        <w:fldChar w:fldCharType="begin"/>
      </w:r>
      <w:r>
        <w:rPr>
          <w:sz w:val="32"/>
          <w:szCs w:val="32"/>
        </w:rPr>
        <w:instrText xml:space="preserve"> PAGEREF _Toc16570 \h </w:instrText>
      </w:r>
      <w:r>
        <w:rPr>
          <w:sz w:val="32"/>
          <w:szCs w:val="32"/>
        </w:rPr>
        <w:fldChar w:fldCharType="separate"/>
      </w:r>
      <w:r>
        <w:rPr>
          <w:sz w:val="32"/>
          <w:szCs w:val="32"/>
        </w:rPr>
        <w:t>5</w:t>
      </w:r>
      <w:r>
        <w:rPr>
          <w:sz w:val="32"/>
          <w:szCs w:val="32"/>
        </w:rPr>
        <w:fldChar w:fldCharType="end"/>
      </w:r>
      <w:r>
        <w:rPr>
          <w:rFonts w:hint="eastAsia" w:ascii="仿宋" w:hAnsi="仿宋" w:eastAsia="仿宋" w:cs="仿宋"/>
          <w:sz w:val="32"/>
          <w:szCs w:val="32"/>
        </w:rPr>
        <w:fldChar w:fldCharType="end"/>
      </w:r>
    </w:p>
    <w:p w14:paraId="4E7F5D6E">
      <w:pPr>
        <w:pStyle w:val="12"/>
        <w:keepNext w:val="0"/>
        <w:keepLines w:val="0"/>
        <w:pageBreakBefore w:val="0"/>
        <w:widowControl w:val="0"/>
        <w:tabs>
          <w:tab w:val="right" w:leader="dot" w:pos="8300"/>
          <w:tab w:val="clear" w:pos="829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_Toc2129 </w:instrText>
      </w:r>
      <w:r>
        <w:rPr>
          <w:rFonts w:hint="eastAsia" w:ascii="仿宋" w:hAnsi="仿宋" w:eastAsia="仿宋" w:cs="仿宋"/>
          <w:sz w:val="32"/>
          <w:szCs w:val="32"/>
        </w:rPr>
        <w:fldChar w:fldCharType="separate"/>
      </w:r>
      <w:r>
        <w:rPr>
          <w:rFonts w:hint="eastAsia" w:ascii="仿宋" w:hAnsi="仿宋" w:eastAsia="仿宋"/>
          <w:kern w:val="0"/>
          <w:sz w:val="32"/>
          <w:szCs w:val="32"/>
          <w:lang w:val="en-US" w:eastAsia="zh-CN"/>
        </w:rPr>
        <w:t>1-4 微课程（微专业线上课程）</w:t>
      </w:r>
      <w:r>
        <w:rPr>
          <w:sz w:val="32"/>
          <w:szCs w:val="32"/>
        </w:rPr>
        <w:tab/>
      </w:r>
      <w:r>
        <w:rPr>
          <w:sz w:val="32"/>
          <w:szCs w:val="32"/>
        </w:rPr>
        <w:fldChar w:fldCharType="begin"/>
      </w:r>
      <w:r>
        <w:rPr>
          <w:sz w:val="32"/>
          <w:szCs w:val="32"/>
        </w:rPr>
        <w:instrText xml:space="preserve"> PAGEREF _Toc2129 \h </w:instrText>
      </w:r>
      <w:r>
        <w:rPr>
          <w:sz w:val="32"/>
          <w:szCs w:val="32"/>
        </w:rPr>
        <w:fldChar w:fldCharType="separate"/>
      </w:r>
      <w:r>
        <w:rPr>
          <w:sz w:val="32"/>
          <w:szCs w:val="32"/>
        </w:rPr>
        <w:t>6</w:t>
      </w:r>
      <w:r>
        <w:rPr>
          <w:sz w:val="32"/>
          <w:szCs w:val="32"/>
        </w:rPr>
        <w:fldChar w:fldCharType="end"/>
      </w:r>
      <w:r>
        <w:rPr>
          <w:rFonts w:hint="eastAsia" w:ascii="仿宋" w:hAnsi="仿宋" w:eastAsia="仿宋" w:cs="仿宋"/>
          <w:sz w:val="32"/>
          <w:szCs w:val="32"/>
        </w:rPr>
        <w:fldChar w:fldCharType="end"/>
      </w:r>
    </w:p>
    <w:p w14:paraId="176D84FE">
      <w:pPr>
        <w:pStyle w:val="11"/>
        <w:keepNext w:val="0"/>
        <w:keepLines w:val="0"/>
        <w:pageBreakBefore w:val="0"/>
        <w:widowControl w:val="0"/>
        <w:tabs>
          <w:tab w:val="right" w:leader="dot" w:pos="830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_Toc5092 </w:instrText>
      </w:r>
      <w:r>
        <w:rPr>
          <w:rFonts w:hint="eastAsia" w:ascii="仿宋" w:hAnsi="仿宋" w:eastAsia="仿宋" w:cs="仿宋"/>
          <w:sz w:val="32"/>
          <w:szCs w:val="32"/>
        </w:rPr>
        <w:fldChar w:fldCharType="separate"/>
      </w:r>
      <w:r>
        <w:rPr>
          <w:rFonts w:hint="eastAsia" w:ascii="黑体" w:hAnsi="黑体" w:eastAsia="黑体"/>
          <w:kern w:val="0"/>
          <w:sz w:val="32"/>
          <w:szCs w:val="32"/>
          <w:lang w:val="en-US" w:eastAsia="zh-CN"/>
        </w:rPr>
        <w:t>2.教材建设</w:t>
      </w:r>
      <w:r>
        <w:rPr>
          <w:sz w:val="32"/>
          <w:szCs w:val="32"/>
        </w:rPr>
        <w:tab/>
      </w:r>
      <w:r>
        <w:rPr>
          <w:sz w:val="32"/>
          <w:szCs w:val="32"/>
        </w:rPr>
        <w:fldChar w:fldCharType="begin"/>
      </w:r>
      <w:r>
        <w:rPr>
          <w:sz w:val="32"/>
          <w:szCs w:val="32"/>
        </w:rPr>
        <w:instrText xml:space="preserve"> PAGEREF _Toc5092 \h </w:instrText>
      </w:r>
      <w:r>
        <w:rPr>
          <w:sz w:val="32"/>
          <w:szCs w:val="32"/>
        </w:rPr>
        <w:fldChar w:fldCharType="separate"/>
      </w:r>
      <w:r>
        <w:rPr>
          <w:sz w:val="32"/>
          <w:szCs w:val="32"/>
        </w:rPr>
        <w:t>9</w:t>
      </w:r>
      <w:r>
        <w:rPr>
          <w:sz w:val="32"/>
          <w:szCs w:val="32"/>
        </w:rPr>
        <w:fldChar w:fldCharType="end"/>
      </w:r>
      <w:r>
        <w:rPr>
          <w:rFonts w:hint="eastAsia" w:ascii="仿宋" w:hAnsi="仿宋" w:eastAsia="仿宋" w:cs="仿宋"/>
          <w:sz w:val="32"/>
          <w:szCs w:val="32"/>
        </w:rPr>
        <w:fldChar w:fldCharType="end"/>
      </w:r>
    </w:p>
    <w:p w14:paraId="3D1BB614">
      <w:pPr>
        <w:pStyle w:val="11"/>
        <w:keepNext w:val="0"/>
        <w:keepLines w:val="0"/>
        <w:pageBreakBefore w:val="0"/>
        <w:widowControl w:val="0"/>
        <w:tabs>
          <w:tab w:val="right" w:leader="dot" w:pos="8300"/>
        </w:tabs>
        <w:kinsoku/>
        <w:wordWrap/>
        <w:overflowPunct/>
        <w:topLinePunct w:val="0"/>
        <w:autoSpaceDE/>
        <w:autoSpaceDN/>
        <w:bidi w:val="0"/>
        <w:snapToGrid/>
        <w:spacing w:line="360" w:lineRule="auto"/>
        <w:textAlignment w:val="auto"/>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_Toc16147 </w:instrText>
      </w:r>
      <w:r>
        <w:rPr>
          <w:rFonts w:hint="eastAsia" w:ascii="仿宋" w:hAnsi="仿宋" w:eastAsia="仿宋" w:cs="仿宋"/>
          <w:sz w:val="32"/>
          <w:szCs w:val="32"/>
        </w:rPr>
        <w:fldChar w:fldCharType="separate"/>
      </w:r>
      <w:r>
        <w:rPr>
          <w:rFonts w:hint="eastAsia" w:ascii="黑体" w:hAnsi="黑体" w:eastAsia="黑体"/>
          <w:kern w:val="0"/>
          <w:sz w:val="32"/>
          <w:szCs w:val="32"/>
        </w:rPr>
        <w:t>3.教育教学改革研究</w:t>
      </w:r>
      <w:r>
        <w:rPr>
          <w:sz w:val="32"/>
          <w:szCs w:val="32"/>
        </w:rPr>
        <w:tab/>
      </w:r>
      <w:r>
        <w:rPr>
          <w:sz w:val="32"/>
          <w:szCs w:val="32"/>
        </w:rPr>
        <w:fldChar w:fldCharType="begin"/>
      </w:r>
      <w:r>
        <w:rPr>
          <w:sz w:val="32"/>
          <w:szCs w:val="32"/>
        </w:rPr>
        <w:instrText xml:space="preserve"> PAGEREF _Toc16147 \h </w:instrText>
      </w:r>
      <w:r>
        <w:rPr>
          <w:sz w:val="32"/>
          <w:szCs w:val="32"/>
        </w:rPr>
        <w:fldChar w:fldCharType="separate"/>
      </w:r>
      <w:r>
        <w:rPr>
          <w:sz w:val="32"/>
          <w:szCs w:val="32"/>
        </w:rPr>
        <w:t>12</w:t>
      </w:r>
      <w:r>
        <w:rPr>
          <w:sz w:val="32"/>
          <w:szCs w:val="32"/>
        </w:rPr>
        <w:fldChar w:fldCharType="end"/>
      </w:r>
      <w:r>
        <w:rPr>
          <w:rFonts w:hint="eastAsia" w:ascii="仿宋" w:hAnsi="仿宋" w:eastAsia="仿宋" w:cs="仿宋"/>
          <w:sz w:val="32"/>
          <w:szCs w:val="32"/>
        </w:rPr>
        <w:fldChar w:fldCharType="end"/>
      </w:r>
    </w:p>
    <w:p w14:paraId="66A434FB">
      <w:pPr>
        <w:pStyle w:val="11"/>
        <w:keepNext w:val="0"/>
        <w:keepLines w:val="0"/>
        <w:pageBreakBefore w:val="0"/>
        <w:widowControl w:val="0"/>
        <w:tabs>
          <w:tab w:val="right" w:leader="dot" w:pos="8300"/>
        </w:tabs>
        <w:kinsoku/>
        <w:wordWrap/>
        <w:overflowPunct/>
        <w:topLinePunct w:val="0"/>
        <w:autoSpaceDE/>
        <w:autoSpaceDN/>
        <w:bidi w:val="0"/>
        <w:snapToGrid/>
        <w:spacing w:line="360" w:lineRule="auto"/>
        <w:textAlignment w:val="auto"/>
        <w:rPr>
          <w:rFonts w:ascii="仿宋" w:hAnsi="仿宋" w:eastAsia="仿宋" w:cs="微软雅黑"/>
          <w:sz w:val="32"/>
          <w:szCs w:val="32"/>
        </w:rPr>
      </w:pPr>
      <w:r>
        <w:rPr>
          <w:rFonts w:hint="eastAsia" w:ascii="仿宋" w:hAnsi="仿宋" w:eastAsia="仿宋" w:cs="仿宋"/>
          <w:sz w:val="32"/>
          <w:szCs w:val="32"/>
        </w:rPr>
        <w:fldChar w:fldCharType="end"/>
      </w:r>
    </w:p>
    <w:p w14:paraId="42DCA672">
      <w:pPr>
        <w:tabs>
          <w:tab w:val="left" w:pos="4721"/>
        </w:tabs>
        <w:adjustRightInd w:val="0"/>
        <w:snapToGrid w:val="0"/>
        <w:spacing w:line="360" w:lineRule="auto"/>
        <w:rPr>
          <w:rFonts w:hint="eastAsia" w:ascii="微软雅黑" w:hAnsi="微软雅黑" w:eastAsia="微软雅黑" w:cs="微软雅黑"/>
          <w:kern w:val="0"/>
          <w:sz w:val="28"/>
          <w:szCs w:val="28"/>
        </w:rPr>
      </w:pPr>
      <w:bookmarkStart w:id="3" w:name="_Toc29987"/>
      <w:bookmarkStart w:id="4" w:name="_Toc29988"/>
    </w:p>
    <w:p w14:paraId="1E44671E">
      <w:pPr>
        <w:tabs>
          <w:tab w:val="left" w:pos="4721"/>
        </w:tabs>
        <w:adjustRightInd w:val="0"/>
        <w:snapToGrid w:val="0"/>
        <w:spacing w:line="360" w:lineRule="auto"/>
        <w:rPr>
          <w:rFonts w:hint="eastAsia" w:ascii="微软雅黑" w:hAnsi="微软雅黑" w:eastAsia="微软雅黑" w:cs="微软雅黑"/>
          <w:kern w:val="0"/>
          <w:sz w:val="28"/>
          <w:szCs w:val="28"/>
        </w:rPr>
      </w:pPr>
    </w:p>
    <w:bookmarkEnd w:id="3"/>
    <w:bookmarkEnd w:id="4"/>
    <w:p w14:paraId="77B201F0">
      <w:pPr>
        <w:pStyle w:val="2"/>
        <w:spacing w:line="560" w:lineRule="exact"/>
        <w:ind w:firstLine="640" w:firstLineChars="200"/>
        <w:jc w:val="center"/>
        <w:rPr>
          <w:rFonts w:hint="eastAsia" w:ascii="黑体" w:hAnsi="黑体" w:eastAsia="黑体"/>
          <w:b w:val="0"/>
          <w:kern w:val="0"/>
          <w:sz w:val="32"/>
          <w:szCs w:val="32"/>
        </w:rPr>
        <w:sectPr>
          <w:footerReference r:id="rId7" w:type="default"/>
          <w:pgSz w:w="11900" w:h="16840"/>
          <w:pgMar w:top="1440" w:right="1800" w:bottom="1440" w:left="1800" w:header="851" w:footer="992" w:gutter="0"/>
          <w:cols w:space="425" w:num="1"/>
          <w:docGrid w:type="lines" w:linePitch="312" w:charSpace="0"/>
        </w:sectPr>
      </w:pPr>
      <w:bookmarkStart w:id="5" w:name="_Toc20588"/>
      <w:bookmarkStart w:id="6" w:name="_Toc7826"/>
      <w:bookmarkStart w:id="7" w:name="_Toc121316384"/>
    </w:p>
    <w:p w14:paraId="597F390E">
      <w:pPr>
        <w:pStyle w:val="2"/>
        <w:spacing w:line="560" w:lineRule="exact"/>
        <w:ind w:firstLine="640" w:firstLineChars="200"/>
        <w:jc w:val="center"/>
        <w:rPr>
          <w:rFonts w:ascii="黑体" w:hAnsi="黑体" w:eastAsia="黑体"/>
          <w:b w:val="0"/>
          <w:kern w:val="0"/>
          <w:sz w:val="32"/>
          <w:szCs w:val="32"/>
        </w:rPr>
      </w:pPr>
      <w:bookmarkStart w:id="8" w:name="_Toc24937"/>
      <w:r>
        <w:rPr>
          <w:rFonts w:hint="eastAsia" w:ascii="黑体" w:hAnsi="黑体" w:eastAsia="黑体"/>
          <w:b w:val="0"/>
          <w:kern w:val="0"/>
          <w:sz w:val="32"/>
          <w:szCs w:val="32"/>
        </w:rPr>
        <w:t>1</w:t>
      </w:r>
      <w:r>
        <w:rPr>
          <w:rFonts w:ascii="黑体" w:hAnsi="黑体" w:eastAsia="黑体"/>
          <w:b w:val="0"/>
          <w:kern w:val="0"/>
          <w:sz w:val="32"/>
          <w:szCs w:val="32"/>
        </w:rPr>
        <w:t>.</w:t>
      </w:r>
      <w:r>
        <w:rPr>
          <w:rFonts w:hint="eastAsia" w:ascii="黑体" w:hAnsi="黑体" w:eastAsia="黑体"/>
          <w:b w:val="0"/>
          <w:kern w:val="0"/>
          <w:sz w:val="32"/>
          <w:szCs w:val="32"/>
        </w:rPr>
        <w:t>课程</w:t>
      </w:r>
      <w:bookmarkEnd w:id="5"/>
      <w:bookmarkEnd w:id="6"/>
      <w:r>
        <w:rPr>
          <w:rFonts w:hint="eastAsia" w:ascii="黑体" w:hAnsi="黑体" w:eastAsia="黑体"/>
          <w:b w:val="0"/>
          <w:kern w:val="0"/>
          <w:sz w:val="32"/>
          <w:szCs w:val="32"/>
        </w:rPr>
        <w:t>建设</w:t>
      </w:r>
      <w:bookmarkEnd w:id="7"/>
      <w:bookmarkEnd w:id="8"/>
    </w:p>
    <w:p w14:paraId="4B12D5E2">
      <w:pPr>
        <w:pStyle w:val="3"/>
        <w:spacing w:line="560" w:lineRule="exact"/>
        <w:rPr>
          <w:rFonts w:hint="eastAsia" w:ascii="仿宋" w:hAnsi="仿宋" w:eastAsia="仿宋"/>
          <w:kern w:val="0"/>
        </w:rPr>
      </w:pPr>
      <w:bookmarkStart w:id="9" w:name="_Toc6405"/>
      <w:r>
        <w:rPr>
          <w:rFonts w:hint="eastAsia" w:ascii="仿宋" w:hAnsi="仿宋" w:eastAsia="仿宋"/>
          <w:kern w:val="0"/>
          <w:lang w:val="en-US" w:eastAsia="zh-CN"/>
        </w:rPr>
        <w:t>1-1</w:t>
      </w:r>
      <w:r>
        <w:rPr>
          <w:rFonts w:hint="eastAsia" w:ascii="仿宋" w:hAnsi="仿宋" w:eastAsia="仿宋"/>
          <w:kern w:val="0"/>
        </w:rPr>
        <w:t xml:space="preserve"> 智慧课程</w:t>
      </w:r>
      <w:bookmarkEnd w:id="9"/>
    </w:p>
    <w:p w14:paraId="298E76DD">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一、建设目标</w:t>
      </w:r>
    </w:p>
    <w:p w14:paraId="22529C06">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深入贯彻落实习近平总书记关于教育的重要论述，加快人工智能在教育教学领域的创新应用，深化课程教学改革，促进广大教师积极拥抱人工智能技术，特别是围绕深度学习、LLM（Large Language Model,大语言模型）、AIGC（Artificial Intelligence Generated Content,生成式人工智能）、知识图谱、新形态人机交互等前沿技术在教育教学中先行先试，形成一批有价值的资源、案例、应用，为教育数字化转型下好“先手棋”。</w:t>
      </w:r>
    </w:p>
    <w:p w14:paraId="3EEE00E7">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二、建设内容</w:t>
      </w:r>
    </w:p>
    <w:p w14:paraId="6E99A7EF">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重塑课程内容体系。梳理从人才培养目标、专业培养目标、毕业能力要求、到课程体系、课程目标的目标链，明确内在支撑关系，重新梳理课程知识点，深度结合课程进行内容重构，打破传统课程组织模式，注重知识的连贯性和系统性，同时融入最新科技成果和行业实践，强化产教融合、科教融汇，增强课程的实用性和针对性。</w:t>
      </w:r>
    </w:p>
    <w:p w14:paraId="22755293">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创新教学方法。利用人工智能技术辅助教师进行教研备课、辅导答疑、学习分析等，帮助教师优化教学方法，提高备课效率，了解学生学习情况，根据学生的学习进度实施个性化教学。利用在线学习平台、虚拟实验室、智能辅导系统等智能教学工具，提高教学效果和学生的参与度。</w:t>
      </w:r>
    </w:p>
    <w:p w14:paraId="6E2330B9">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3.优化教学评价。建立信息采集、评价、督导、反馈机制，进行课堂教学智能评测，对影响课堂教育教学质量的各类要素进行智能化大数据分析，实现课堂教学质量监督的全过程智能化。</w:t>
      </w:r>
    </w:p>
    <w:p w14:paraId="2F93D2BA">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三、申报要求</w:t>
      </w:r>
    </w:p>
    <w:p w14:paraId="027A9473">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1.申报课程须为已列入本科人才培养方案且设置学分的本科课程，且至少经过2个教学周期的建设和完善。鼓励受众面广、需求量大的公共基础课、专业基础课、专业核心课、通识核心课程申报。</w:t>
      </w:r>
    </w:p>
    <w:p w14:paraId="637A6709">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2.课程负责人须为本校专职教师，应具有</w:t>
      </w:r>
      <w:r>
        <w:rPr>
          <w:rFonts w:hint="eastAsia" w:ascii="仿宋" w:hAnsi="仿宋" w:eastAsia="仿宋" w:cs="方正仿宋_GBK"/>
          <w:color w:val="000000"/>
          <w:kern w:val="0"/>
          <w:sz w:val="32"/>
          <w:szCs w:val="32"/>
          <w:highlight w:val="none"/>
          <w:lang w:val="en-US" w:eastAsia="zh-CN"/>
        </w:rPr>
        <w:t>中级</w:t>
      </w:r>
      <w:r>
        <w:rPr>
          <w:rFonts w:hint="eastAsia" w:ascii="仿宋" w:hAnsi="仿宋" w:eastAsia="仿宋" w:cs="方正仿宋_GBK"/>
          <w:color w:val="000000"/>
          <w:kern w:val="0"/>
          <w:sz w:val="32"/>
          <w:szCs w:val="32"/>
        </w:rPr>
        <w:t>及以上职称或博士学位，具备良好的师德师风，教学能力强，教学改革意识强烈，具有丰富的教学经验和较高的学术造诣，能够积极投身教学改革，运用人工智能技术提高教学效率、提升教学质量。课程负责人应主讲本课程2轮次以上。</w:t>
      </w:r>
    </w:p>
    <w:p w14:paraId="7E095178">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3.课程建设团队应结构合理、分工明确、素质优良，集体教研制度完善且有效实施，团队成员不超过5人（含课程负责人）。近两年，课程负责人和教学团队无教学事故和师德师风问题。</w:t>
      </w:r>
    </w:p>
    <w:p w14:paraId="1A701478">
      <w:pPr>
        <w:widowControl/>
        <w:adjustRightInd w:val="0"/>
        <w:snapToGrid w:val="0"/>
        <w:spacing w:line="560" w:lineRule="exact"/>
        <w:ind w:firstLine="643" w:firstLineChars="200"/>
        <w:rPr>
          <w:rFonts w:hint="eastAsia" w:ascii="仿宋" w:hAnsi="仿宋" w:eastAsia="仿宋" w:cs="宋体"/>
          <w:b/>
          <w:color w:val="000000"/>
          <w:kern w:val="0"/>
          <w:sz w:val="32"/>
          <w:szCs w:val="32"/>
        </w:rPr>
      </w:pPr>
      <w:r>
        <w:rPr>
          <w:rFonts w:hint="eastAsia" w:ascii="仿宋" w:hAnsi="仿宋" w:eastAsia="仿宋" w:cs="宋体"/>
          <w:b/>
          <w:color w:val="000000"/>
          <w:kern w:val="0"/>
          <w:sz w:val="32"/>
          <w:szCs w:val="32"/>
        </w:rPr>
        <w:t>四、验收标准</w:t>
      </w:r>
    </w:p>
    <w:p w14:paraId="72165B94">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1.建设期内，课程至少基于线上课程平台开设2个教学周期，实现“必选功能2项+自选功能2项”：</w:t>
      </w:r>
    </w:p>
    <w:p w14:paraId="0F0D1A4F">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①必选功能包括：AI助学或助教、知识图谱。</w:t>
      </w:r>
    </w:p>
    <w:p w14:paraId="43A55E62">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rPr>
        <w:t>②自选功能包括：数字教材、数字人、智能批改、智能备课、智能翻译、AI教学管理、能力图谱、素质图谱等。</w:t>
      </w:r>
    </w:p>
    <w:p w14:paraId="5229CC27">
      <w:pPr>
        <w:widowControl/>
        <w:adjustRightInd w:val="0"/>
        <w:snapToGrid w:val="0"/>
        <w:spacing w:line="560" w:lineRule="exact"/>
        <w:ind w:firstLine="640" w:firstLineChars="200"/>
        <w:rPr>
          <w:rFonts w:hint="eastAsia" w:ascii="仿宋" w:hAnsi="仿宋" w:eastAsia="仿宋" w:cs="方正仿宋_GBK"/>
          <w:color w:val="000000"/>
          <w:kern w:val="0"/>
          <w:sz w:val="32"/>
          <w:szCs w:val="32"/>
        </w:rPr>
      </w:pPr>
      <w:r>
        <w:rPr>
          <w:rFonts w:hint="eastAsia" w:ascii="仿宋" w:hAnsi="仿宋" w:eastAsia="仿宋" w:cs="方正仿宋_GBK"/>
          <w:color w:val="000000"/>
          <w:kern w:val="0"/>
          <w:sz w:val="32"/>
          <w:szCs w:val="32"/>
          <w:lang w:val="en-US" w:eastAsia="zh-CN"/>
        </w:rPr>
        <w:t>2</w:t>
      </w:r>
      <w:r>
        <w:rPr>
          <w:rFonts w:hint="eastAsia" w:ascii="仿宋" w:hAnsi="仿宋" w:eastAsia="仿宋" w:cs="方正仿宋_GBK"/>
          <w:color w:val="000000"/>
          <w:kern w:val="0"/>
          <w:sz w:val="32"/>
          <w:szCs w:val="32"/>
        </w:rPr>
        <w:t>.项目负责人参加或指导本团队青年教师参加校级及以上教师教学竞赛不少于1次。</w:t>
      </w:r>
    </w:p>
    <w:p w14:paraId="30EE78A3">
      <w:pPr>
        <w:pStyle w:val="3"/>
        <w:spacing w:line="560" w:lineRule="exact"/>
        <w:rPr>
          <w:rFonts w:hint="default" w:ascii="仿宋" w:hAnsi="仿宋" w:eastAsia="仿宋"/>
          <w:kern w:val="0"/>
          <w:lang w:val="en-US" w:eastAsia="zh-CN"/>
        </w:rPr>
      </w:pPr>
      <w:bookmarkStart w:id="10" w:name="_Toc27192"/>
      <w:r>
        <w:rPr>
          <w:rFonts w:hint="eastAsia" w:ascii="仿宋" w:hAnsi="仿宋" w:eastAsia="仿宋"/>
          <w:kern w:val="0"/>
          <w:lang w:val="en-US" w:eastAsia="zh-CN"/>
        </w:rPr>
        <w:t>1-2 人工智能通识课程</w:t>
      </w:r>
      <w:bookmarkEnd w:id="10"/>
    </w:p>
    <w:p w14:paraId="4796DD1B">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一、建设目标</w:t>
      </w:r>
    </w:p>
    <w:p w14:paraId="01AD3120">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促进人工智能发展与其他学科专业交叉融合，通过构建完善的人工智能通识课程体系、加强师资队伍建设、创新教学方法与手段、深化多学科交叉融合，培养和提高学生的AI素养、创新能力和智能时代终身学习的能力，为建设教育强省提供智力支撑。</w:t>
      </w:r>
    </w:p>
    <w:p w14:paraId="6C4243B5">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二、建设内容</w:t>
      </w:r>
    </w:p>
    <w:p w14:paraId="452C619B">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课程体系优化。阶梯式构建“人工智能基础课程+专题式课程”的人工智能通识课程体系。人工智能基础课程如《人工智能导论》，讲解人工智能的学科发展、前世今生、基本概念、基础技术、典型应用场景、常见工具平台等；专题式课程为各类学科交叉课程，讲解人工智能在前沿科学研究中的应用、各类学科与人工智能深度融合的前沿实践等。</w:t>
      </w:r>
    </w:p>
    <w:p w14:paraId="52A9429C">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课程内容重构。鼓励专业以人工智能与本学科交叉融合为切入点开展教学，在专业教育中融入人工智能知识，讲解人工智能在工业制造、金融服务、医疗健康、生物信息、交通运输、社会治理、环境保护、法律服务、媒体娱乐、艺术设计、国防安全等多领域的最前沿应用，培养学生面对智能化时代解决多学科领域复杂问题的创新能力。</w:t>
      </w:r>
    </w:p>
    <w:p w14:paraId="426D499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突出校本特色。融入高校优势学科建设成果，可开设AI与伦理治理，AI与生产关系，AI与未来教育，AI与人文精神，AI与心理认知，AI与语言文字，AI与法治等学科素养课程；与专业服务的产业紧密对接，可校企合作共建专题式课程。</w:t>
      </w:r>
    </w:p>
    <w:p w14:paraId="75AC12EB">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三、申报要求</w:t>
      </w:r>
    </w:p>
    <w:p w14:paraId="655EBA0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1.申报课程为计划列入本科人才培养方案且设置学分的本科新课程，建成后可作为通识课程供本校或外校学生必修或选修。</w:t>
      </w:r>
    </w:p>
    <w:p w14:paraId="7E12A348">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2.课程负责人须为本校专职教师，应具有</w:t>
      </w:r>
      <w:r>
        <w:rPr>
          <w:rFonts w:hint="eastAsia" w:ascii="Times New Roman" w:eastAsia="仿宋" w:cs="仿宋_GB2312"/>
          <w:color w:val="auto"/>
          <w:sz w:val="32"/>
          <w:szCs w:val="32"/>
          <w:lang w:val="en-US" w:eastAsia="zh-CN" w:bidi="ar"/>
        </w:rPr>
        <w:t>讲师</w:t>
      </w:r>
      <w:r>
        <w:rPr>
          <w:rFonts w:ascii="Times New Roman" w:eastAsia="仿宋" w:cs="仿宋_GB2312"/>
          <w:color w:val="auto"/>
          <w:sz w:val="32"/>
          <w:szCs w:val="32"/>
          <w:lang w:bidi="ar"/>
        </w:rPr>
        <w:t>及以上职称或博士学位，具备良好的师德师风，教学能力强，教学改革意识强烈，具有丰富的教学经验和较高的学术造诣，能够积极投身教学改革。</w:t>
      </w:r>
    </w:p>
    <w:p w14:paraId="2C0F0914">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3.课程建设团队应结构合理、分工明确、素质优良，集体教研制度完善且有效实施，团队成员不超过5人（含课程负责人）。近两年，课程负责人和教学团队无教学事故和师德师风问题。</w:t>
      </w:r>
    </w:p>
    <w:p w14:paraId="57DC0AEC">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bidi="ar"/>
        </w:rPr>
      </w:pPr>
      <w:r>
        <w:rPr>
          <w:rFonts w:ascii="Times New Roman" w:eastAsia="仿宋" w:cs="仿宋_GB2312"/>
          <w:b/>
          <w:bCs/>
          <w:color w:val="auto"/>
          <w:sz w:val="32"/>
          <w:szCs w:val="32"/>
          <w:lang w:bidi="ar"/>
        </w:rPr>
        <w:t>四、验收标准</w:t>
      </w:r>
    </w:p>
    <w:p w14:paraId="2F9BE497">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1.建设期内，课程至少开设1个教学周期，提供教学大纲，学校教务处盖章的最近一学期的教学日历，测验、考试（考核）及答案（成果等），学生成绩分布统计。</w:t>
      </w:r>
    </w:p>
    <w:p w14:paraId="0A9D3B11">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2.提供课程负责人签字的最近一学期的课程教案、一节代表性课程的完整教学设计和教学实施流程说明，尽可能细致地反映出教师的思考和教学设计，在文档中应提供不少于5张教学活动的图片。要求教学设计样例应具有较强的可读性，表述清晰流畅。</w:t>
      </w:r>
    </w:p>
    <w:p w14:paraId="4CEFB638">
      <w:pPr>
        <w:pStyle w:val="26"/>
        <w:tabs>
          <w:tab w:val="left" w:pos="1128"/>
        </w:tabs>
        <w:topLinePunct/>
        <w:spacing w:line="560" w:lineRule="exact"/>
        <w:ind w:left="0" w:firstLineChars="200"/>
        <w:jc w:val="both"/>
        <w:rPr>
          <w:rFonts w:hint="default" w:ascii="Times New Roman" w:eastAsia="仿宋" w:cs="仿宋_GB2312"/>
          <w:color w:val="auto"/>
          <w:sz w:val="32"/>
          <w:szCs w:val="32"/>
          <w:lang w:bidi="ar"/>
        </w:rPr>
      </w:pPr>
      <w:r>
        <w:rPr>
          <w:rFonts w:ascii="Times New Roman" w:eastAsia="仿宋" w:cs="仿宋_GB2312"/>
          <w:color w:val="auto"/>
          <w:sz w:val="32"/>
          <w:szCs w:val="32"/>
          <w:lang w:bidi="ar"/>
        </w:rPr>
        <w:t>3.如为线上课程，则提供线上课程链接、账号、密码，平台盖章的课程数据信息表。</w:t>
      </w:r>
    </w:p>
    <w:p w14:paraId="5DF87222">
      <w:pPr>
        <w:pStyle w:val="26"/>
        <w:tabs>
          <w:tab w:val="left" w:pos="1128"/>
        </w:tabs>
        <w:topLinePunct/>
        <w:spacing w:line="560" w:lineRule="exact"/>
        <w:ind w:left="0" w:firstLineChars="200"/>
        <w:jc w:val="both"/>
        <w:rPr>
          <w:rFonts w:hint="eastAsia" w:ascii="仿宋" w:hAnsi="仿宋" w:eastAsia="仿宋"/>
          <w:kern w:val="0"/>
          <w:lang w:val="en-US" w:eastAsia="zh-CN"/>
        </w:rPr>
      </w:pPr>
      <w:r>
        <w:rPr>
          <w:rFonts w:ascii="Times New Roman" w:eastAsia="仿宋" w:cs="仿宋_GB2312"/>
          <w:color w:val="auto"/>
          <w:sz w:val="32"/>
          <w:szCs w:val="32"/>
          <w:lang w:bidi="ar"/>
        </w:rPr>
        <w:t>4.项目负责人参加或指导本团队青年教师参加校级及以上教师教学竞赛不少于1次。</w:t>
      </w:r>
    </w:p>
    <w:p w14:paraId="27E00C6A">
      <w:pPr>
        <w:pStyle w:val="3"/>
        <w:spacing w:line="560" w:lineRule="exact"/>
        <w:rPr>
          <w:rFonts w:hint="eastAsia" w:ascii="仿宋" w:hAnsi="仿宋" w:eastAsia="仿宋"/>
          <w:kern w:val="0"/>
          <w:lang w:val="en-US" w:eastAsia="zh-CN"/>
        </w:rPr>
      </w:pPr>
      <w:bookmarkStart w:id="11" w:name="_Toc16570"/>
      <w:r>
        <w:rPr>
          <w:rFonts w:hint="eastAsia" w:ascii="仿宋" w:hAnsi="仿宋" w:eastAsia="仿宋"/>
          <w:kern w:val="0"/>
          <w:lang w:val="en-US" w:eastAsia="zh-CN"/>
        </w:rPr>
        <w:t>1-3 “行业企业课程资源库”“真实项目案例库”</w:t>
      </w:r>
      <w:bookmarkEnd w:id="11"/>
    </w:p>
    <w:p w14:paraId="3E55D779">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一、建设目标</w:t>
      </w:r>
    </w:p>
    <w:p w14:paraId="56BDDC3F">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为进一步加强学校课程内涵建设，满足教育部审核评估整改相关要求，进一步提升人才培养质量，推进“两库”建设工作。</w:t>
      </w:r>
    </w:p>
    <w:p w14:paraId="7991B3E8">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二、申报要求</w:t>
      </w:r>
    </w:p>
    <w:p w14:paraId="7E79D9A6">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 xml:space="preserve">1.国家级一流本科课程、省级一流本科课程、教育部产学合作协同育人项目（教学内容和课程体系改革）等各类优秀课程均纳入“两库”建设范围，相关课程负责人是“两库”建设的第一责任人，课程团队成员应积极配合课程负责人完成相关建设任务； </w:t>
      </w:r>
    </w:p>
    <w:p w14:paraId="4B860BED">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2.国家级一流本科专业、省级一流本科专业，以及省级产业学院所涉及专业的专业核心课均应纳入“两库”建设范围；鼓励其他本科专业各类课程、通识类课程、综合实践课程、专业实践课程参与“两库”的建设；</w:t>
      </w:r>
    </w:p>
    <w:p w14:paraId="1C201B32">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 xml:space="preserve">3.“行业企业课程资源库”应具有一定的校企合作基础，包括但不限于师资队伍建设、课程大纲编写、课程内容设计、教学资源共建等合作内容，课程负责人应广泛参与行业企业相关工作任务，建立良好的校企合作基础并引荐优质教学资源； </w:t>
      </w:r>
    </w:p>
    <w:p w14:paraId="23A52BDF">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4.“行业企业课程资源库”中，校企合作类型包含师资队伍建设类的课程，应保证引进企业师资能够进课堂与学校专任教师进行“共讲”；</w:t>
      </w:r>
    </w:p>
    <w:p w14:paraId="0D9F7367">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5.“真实项目案例库”建设应重点引入课程教学内容相关的行业企业及职业岗位所需的真实项目或任务以及具有一定代表性的经典案例等，并保证项目、任务、案例等资源内容充实。</w:t>
      </w:r>
    </w:p>
    <w:p w14:paraId="143015F3">
      <w:pPr>
        <w:pStyle w:val="26"/>
        <w:tabs>
          <w:tab w:val="left" w:pos="1128"/>
        </w:tabs>
        <w:topLinePunct/>
        <w:spacing w:line="560" w:lineRule="exact"/>
        <w:ind w:left="0" w:firstLine="643" w:firstLineChars="200"/>
        <w:jc w:val="both"/>
        <w:rPr>
          <w:rFonts w:hint="eastAsia" w:ascii="Times New Roman" w:eastAsia="仿宋" w:cs="仿宋_GB2312"/>
          <w:b/>
          <w:bCs/>
          <w:color w:val="auto"/>
          <w:sz w:val="32"/>
          <w:szCs w:val="32"/>
          <w:lang w:val="en-US" w:eastAsia="zh-CN" w:bidi="ar"/>
        </w:rPr>
      </w:pPr>
      <w:r>
        <w:rPr>
          <w:rFonts w:hint="eastAsia" w:ascii="Times New Roman" w:eastAsia="仿宋" w:cs="仿宋_GB2312"/>
          <w:b/>
          <w:bCs/>
          <w:color w:val="auto"/>
          <w:sz w:val="32"/>
          <w:szCs w:val="32"/>
          <w:lang w:val="en-US" w:eastAsia="zh-CN" w:bidi="ar"/>
        </w:rPr>
        <w:t>三、验收标准</w:t>
      </w:r>
    </w:p>
    <w:p w14:paraId="48A1D0F7">
      <w:pPr>
        <w:ind w:firstLine="640" w:firstLineChars="200"/>
        <w:rPr>
          <w:rFonts w:hint="eastAsia" w:ascii="Times New Roman" w:eastAsia="仿宋" w:cs="仿宋_GB2312" w:hAnsiTheme="minorHAnsi"/>
          <w:color w:val="auto"/>
          <w:kern w:val="2"/>
          <w:sz w:val="32"/>
          <w:szCs w:val="32"/>
          <w:lang w:val="en-US" w:eastAsia="zh-CN" w:bidi="ar"/>
        </w:rPr>
      </w:pPr>
      <w:r>
        <w:rPr>
          <w:rFonts w:hint="eastAsia" w:ascii="Times New Roman" w:eastAsia="仿宋" w:cs="仿宋_GB2312" w:hAnsiTheme="minorHAnsi"/>
          <w:color w:val="auto"/>
          <w:kern w:val="2"/>
          <w:sz w:val="32"/>
          <w:szCs w:val="32"/>
          <w:lang w:val="en-US" w:eastAsia="zh-CN" w:bidi="ar"/>
        </w:rPr>
        <w:t>“行业企业课程资源库”“真实项目案例库”项目建设周期均为1年，建设成果以案例汇编形式提交，其中“真实项目案例库”原则上每门课程的项目/任务/案例总数不少于10例。鼓励各专业在建设案例库的基础上形成案例教材。</w:t>
      </w:r>
    </w:p>
    <w:p w14:paraId="174DDA1C">
      <w:pPr>
        <w:pStyle w:val="3"/>
        <w:spacing w:line="560" w:lineRule="exact"/>
        <w:rPr>
          <w:rFonts w:hint="eastAsia" w:ascii="仿宋" w:hAnsi="仿宋" w:eastAsia="仿宋"/>
          <w:kern w:val="0"/>
          <w:lang w:val="en-US" w:eastAsia="zh-CN"/>
        </w:rPr>
      </w:pPr>
      <w:bookmarkStart w:id="12" w:name="_Toc2129"/>
      <w:bookmarkStart w:id="13" w:name="_Toc8375"/>
      <w:bookmarkStart w:id="14" w:name="_Toc121316391"/>
      <w:bookmarkStart w:id="15" w:name="_Toc25482"/>
      <w:bookmarkStart w:id="16" w:name="_Toc526975920"/>
      <w:bookmarkStart w:id="17" w:name="_Toc526975914"/>
      <w:r>
        <w:rPr>
          <w:rFonts w:hint="eastAsia" w:ascii="仿宋" w:hAnsi="仿宋" w:eastAsia="仿宋"/>
          <w:kern w:val="0"/>
          <w:lang w:val="en-US" w:eastAsia="zh-CN"/>
        </w:rPr>
        <w:t>1-4 微课程（微专业线上课程）</w:t>
      </w:r>
      <w:bookmarkEnd w:id="12"/>
    </w:p>
    <w:p w14:paraId="7341AB58">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val="en-US" w:eastAsia="zh-CN" w:bidi="ar"/>
        </w:rPr>
      </w:pPr>
      <w:r>
        <w:rPr>
          <w:rFonts w:hint="default" w:ascii="Times New Roman" w:eastAsia="仿宋" w:cs="仿宋_GB2312"/>
          <w:b/>
          <w:bCs/>
          <w:color w:val="auto"/>
          <w:sz w:val="32"/>
          <w:szCs w:val="32"/>
          <w:lang w:val="en-US" w:eastAsia="zh-CN" w:bidi="ar"/>
        </w:rPr>
        <w:t>一、建设目标</w:t>
      </w:r>
    </w:p>
    <w:p w14:paraId="5CF664D9">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紧密对接教育部“双千”计划对急需紧缺人才培养的要求，响应安徽省新兴产业、主导产业和未来产业发展需求，打造一批精准服务地方经济的微专业课程资源，构筑起一座贯通学科、对接产业的关键纽带，实现人才培养与社会需求的高度契合。</w:t>
      </w:r>
    </w:p>
    <w:p w14:paraId="0ACCF656">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val="en-US" w:eastAsia="zh-CN" w:bidi="ar"/>
        </w:rPr>
      </w:pPr>
      <w:r>
        <w:rPr>
          <w:rFonts w:hint="default" w:ascii="Times New Roman" w:eastAsia="仿宋" w:cs="仿宋_GB2312"/>
          <w:b/>
          <w:bCs/>
          <w:color w:val="auto"/>
          <w:sz w:val="32"/>
          <w:szCs w:val="32"/>
          <w:lang w:val="en-US" w:eastAsia="zh-CN" w:bidi="ar"/>
        </w:rPr>
        <w:t>二、建设内容</w:t>
      </w:r>
    </w:p>
    <w:p w14:paraId="0A6EE2BC">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1. 课程定位。依据微专业人才培养方案，以现代教育思想和教学理念为指导，以促进学生自主学习并达到最佳效果为目标，围绕微专业所涉及学科领域的重点、难点及前沿交叉问题进行内容设计。</w:t>
      </w:r>
    </w:p>
    <w:p w14:paraId="5B0D387C">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2. 资源建设。结合线上课程特性，围绕微专业人才培养特色和目标设计课程内容，依托国内主流网络课程平台，提供完整教学资源（含教师队伍、课程简介、教学大纲、授课教案、教学视频、作业习题、试题库等）；视频内容按问题组织知识点，以知识点进行资源建设，体现微专业服务产业发展的需求，注重以学生为中心建立教与学新型关系，注重学生批判性思维、自主学习能力、合作能力、解决复杂问题能力等方面培育。</w:t>
      </w:r>
    </w:p>
    <w:p w14:paraId="5F718F3F">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3. 团队建设。鼓励以课程团队为建设主体，支持跨学科、跨专业、跨校乃至校企协同组建教学团队（鼓励企业人员参与实践内容设计、案例开发与技术指导），着力提升团队在信息技术与教育教学深度融合、跨学科课程设计与教学实施、深度对接社会需求方面的能力。</w:t>
      </w:r>
    </w:p>
    <w:p w14:paraId="679C4C99">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val="en-US" w:eastAsia="zh-CN" w:bidi="ar"/>
        </w:rPr>
      </w:pPr>
      <w:r>
        <w:rPr>
          <w:rFonts w:hint="default" w:ascii="Times New Roman" w:eastAsia="仿宋" w:cs="仿宋_GB2312"/>
          <w:b/>
          <w:bCs/>
          <w:color w:val="auto"/>
          <w:sz w:val="32"/>
          <w:szCs w:val="32"/>
          <w:lang w:val="en-US" w:eastAsia="zh-CN" w:bidi="ar"/>
        </w:rPr>
        <w:t>三、申报要求</w:t>
      </w:r>
    </w:p>
    <w:p w14:paraId="6F8AF0E4">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1. 申报课程须为已纳入校级及以上微专业建设方案或试点范围的课程。课程内容应符合党的教育方针和国家法律法规，坚持正确的价值导向，体现学科交叉与产业前沿，无危害国家安全、涉密及侵犯知识产权等内容。</w:t>
      </w:r>
    </w:p>
    <w:p w14:paraId="02FC2765">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2. 课程负责人须为本校专职教师，应具有讲师及以上职称或博士学位，具备良好的师德师风，教学理念先进，教学效果良好，积极参与教学改革。课程负责人应具有相关的教学或研究经验，原则上应在微专业建设期内已主讲该课程 1轮次以上。</w:t>
      </w:r>
    </w:p>
    <w:p w14:paraId="590078D0">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3. 课程建设团队应结构合理、任务明确、协作良好，能够胜任课程的开发、应用与持续改进工作。团队应积极拥抱新一代信息技术，致力于课程理念、内容与模式的创新。团队成员（含负责人）原则上不超过5人，其中至少1人来自产业。近两年内，课程负责人及团队成员无教学事故和师德师风问题。</w:t>
      </w:r>
    </w:p>
    <w:p w14:paraId="5CD8A26F">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val="en-US" w:eastAsia="zh-CN" w:bidi="ar"/>
        </w:rPr>
      </w:pPr>
      <w:r>
        <w:rPr>
          <w:rFonts w:hint="default" w:ascii="Times New Roman" w:eastAsia="仿宋" w:cs="仿宋_GB2312"/>
          <w:b/>
          <w:bCs/>
          <w:color w:val="auto"/>
          <w:sz w:val="32"/>
          <w:szCs w:val="32"/>
          <w:lang w:val="en-US" w:eastAsia="zh-CN" w:bidi="ar"/>
        </w:rPr>
        <w:t>四、验收标准</w:t>
      </w:r>
    </w:p>
    <w:p w14:paraId="75C29217">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1. 平台运行与教学应用。建设期内，课程至少开设1个教学周期，提供运行平台盖章的“课程数据信息表”，作为结题依据。</w:t>
      </w:r>
    </w:p>
    <w:p w14:paraId="26C2D65F">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2. 教学资源建设要求。教学视频总时长≥360分钟（单节视频时长原则上不超过15分钟），配套课件、案例解析、拓展资料等资源完整；每章需设置不少于 3 道章节测验题，</w:t>
      </w:r>
    </w:p>
    <w:p w14:paraId="1DA04A44">
      <w:pPr>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试题覆盖课程全部核心知识点且难度梯度合理；课程内容需融入课程思政元素，无危害国家安全、涉密或侵犯知识产权的违规信息。</w:t>
      </w:r>
    </w:p>
    <w:p w14:paraId="1D363DBB">
      <w:pPr>
        <w:pStyle w:val="26"/>
        <w:tabs>
          <w:tab w:val="left" w:pos="1128"/>
        </w:tabs>
        <w:topLinePunct/>
        <w:spacing w:line="560" w:lineRule="exact"/>
        <w:ind w:left="0" w:firstLine="643" w:firstLineChars="200"/>
        <w:jc w:val="both"/>
        <w:rPr>
          <w:rFonts w:hint="default" w:ascii="Times New Roman" w:eastAsia="仿宋" w:cs="仿宋_GB2312"/>
          <w:b/>
          <w:bCs/>
          <w:color w:val="auto"/>
          <w:sz w:val="32"/>
          <w:szCs w:val="32"/>
          <w:lang w:val="en-US" w:eastAsia="zh-CN" w:bidi="ar"/>
        </w:rPr>
      </w:pPr>
      <w:r>
        <w:rPr>
          <w:rFonts w:hint="default" w:ascii="Times New Roman" w:eastAsia="仿宋" w:cs="仿宋_GB2312"/>
          <w:b/>
          <w:bCs/>
          <w:color w:val="auto"/>
          <w:sz w:val="32"/>
          <w:szCs w:val="32"/>
          <w:lang w:val="en-US" w:eastAsia="zh-CN" w:bidi="ar"/>
        </w:rPr>
        <w:t>五、验收等次</w:t>
      </w:r>
    </w:p>
    <w:p w14:paraId="10D59CC9">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在满足全部基本验收标准的前提下，根据以下标准划分验收等次：</w:t>
      </w:r>
    </w:p>
    <w:p w14:paraId="3B09EB04">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优秀：课程被5所及以上高校在完整教学周期内选用；或被纳入国家智慧教学平台；或课程（或其主讲教师）获得省级及以上教学成果奖、课程比赛奖项等荣誉；或牵头组织过校际课程教学研讨活动。</w:t>
      </w:r>
    </w:p>
    <w:p w14:paraId="46CCA1DD">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良好：课程被2至4所高校在完整教学周期内选用；或获得校级教学成果奖；或被纳入校级优质课程资源库。</w:t>
      </w:r>
    </w:p>
    <w:p w14:paraId="2869FC26">
      <w:pPr>
        <w:ind w:firstLine="640" w:firstLineChars="200"/>
        <w:rPr>
          <w:rFonts w:hint="default" w:ascii="Times New Roman" w:eastAsia="仿宋" w:cs="仿宋_GB2312" w:hAnsiTheme="minorHAnsi"/>
          <w:color w:val="auto"/>
          <w:kern w:val="2"/>
          <w:sz w:val="32"/>
          <w:szCs w:val="32"/>
          <w:lang w:val="en-US" w:eastAsia="zh-CN" w:bidi="ar"/>
        </w:rPr>
      </w:pPr>
      <w:r>
        <w:rPr>
          <w:rFonts w:hint="default" w:ascii="Times New Roman" w:eastAsia="仿宋" w:cs="仿宋_GB2312" w:hAnsiTheme="minorHAnsi"/>
          <w:color w:val="auto"/>
          <w:kern w:val="2"/>
          <w:sz w:val="32"/>
          <w:szCs w:val="32"/>
          <w:lang w:val="en-US" w:eastAsia="zh-CN" w:bidi="ar"/>
        </w:rPr>
        <w:t>合格：课程仅在本校或1所高校完成完整教学周期应用，验收材料完整、真实，能清晰呈现建设与应用全过程，无数据造假行为。</w:t>
      </w:r>
    </w:p>
    <w:p w14:paraId="3B3CD534">
      <w:pPr>
        <w:pStyle w:val="2"/>
        <w:spacing w:line="560" w:lineRule="exact"/>
        <w:ind w:firstLine="640" w:firstLineChars="200"/>
        <w:jc w:val="center"/>
        <w:rPr>
          <w:rFonts w:hint="eastAsia" w:ascii="黑体" w:hAnsi="黑体" w:eastAsia="黑体"/>
          <w:b w:val="0"/>
          <w:kern w:val="0"/>
          <w:sz w:val="32"/>
          <w:szCs w:val="32"/>
          <w:lang w:val="en-US" w:eastAsia="zh-CN"/>
        </w:rPr>
      </w:pPr>
      <w:bookmarkStart w:id="18" w:name="_Toc5092"/>
      <w:r>
        <w:rPr>
          <w:rFonts w:hint="eastAsia" w:ascii="黑体" w:hAnsi="黑体" w:eastAsia="黑体"/>
          <w:b w:val="0"/>
          <w:kern w:val="0"/>
          <w:sz w:val="32"/>
          <w:szCs w:val="32"/>
          <w:lang w:val="en-US" w:eastAsia="zh-CN"/>
        </w:rPr>
        <w:t>2.教材建设</w:t>
      </w:r>
      <w:bookmarkEnd w:id="13"/>
      <w:bookmarkEnd w:id="14"/>
      <w:bookmarkEnd w:id="15"/>
      <w:bookmarkEnd w:id="18"/>
    </w:p>
    <w:p w14:paraId="63C3FFEE">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一、建设目标</w:t>
      </w:r>
    </w:p>
    <w:p w14:paraId="6DC534A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一流教材建设项目旨在贯彻落实中共中央办公厅、国务院办公厅联合印发的《关于加强和改进新形势下大中小学教材建设的意见》精神，</w:t>
      </w:r>
      <w:r>
        <w:rPr>
          <w:rFonts w:ascii="仿宋" w:hAnsi="仿宋" w:eastAsia="仿宋" w:cs="宋体"/>
          <w:color w:val="000000"/>
          <w:kern w:val="0"/>
          <w:sz w:val="32"/>
          <w:szCs w:val="32"/>
        </w:rPr>
        <w:t>加强教材研究，</w:t>
      </w:r>
      <w:r>
        <w:rPr>
          <w:rFonts w:hint="eastAsia" w:ascii="仿宋" w:hAnsi="仿宋" w:eastAsia="仿宋" w:cs="宋体"/>
          <w:color w:val="000000"/>
          <w:kern w:val="0"/>
          <w:sz w:val="32"/>
          <w:szCs w:val="32"/>
        </w:rPr>
        <w:t>凝结和体现学科建设与课程建设成果，</w:t>
      </w:r>
      <w:r>
        <w:rPr>
          <w:rFonts w:ascii="仿宋" w:hAnsi="仿宋" w:eastAsia="仿宋" w:cs="宋体"/>
          <w:color w:val="000000"/>
          <w:kern w:val="0"/>
          <w:sz w:val="32"/>
          <w:szCs w:val="32"/>
        </w:rPr>
        <w:t>创新教材呈现方式和话语体系，实现理论体系向教材体系转化、教材体系向教学体系转化、知识体系向学生的价值体系转化，使教材更加体现科学性、前沿性，进一步增强教材针对性和实效性</w:t>
      </w:r>
      <w:r>
        <w:rPr>
          <w:rFonts w:hint="eastAsia" w:ascii="仿宋" w:hAnsi="仿宋" w:eastAsia="仿宋" w:cs="宋体"/>
          <w:color w:val="000000"/>
          <w:kern w:val="0"/>
          <w:sz w:val="32"/>
          <w:szCs w:val="32"/>
        </w:rPr>
        <w:t>，从而推进我省高等教育高水平、高质量教材建设，全面提升我省教材建设的水平。</w:t>
      </w:r>
    </w:p>
    <w:p w14:paraId="08DFADBE">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二、建设</w:t>
      </w:r>
      <w:r>
        <w:rPr>
          <w:rFonts w:hint="eastAsia" w:ascii="仿宋" w:hAnsi="仿宋" w:eastAsia="仿宋" w:cs="宋体"/>
          <w:b/>
          <w:bCs/>
          <w:color w:val="000000"/>
          <w:kern w:val="0"/>
          <w:sz w:val="32"/>
          <w:szCs w:val="32"/>
        </w:rPr>
        <w:t>要求</w:t>
      </w:r>
    </w:p>
    <w:p w14:paraId="04BA1697">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坚持突出重点、锤炼精品、改革创新、凸现特色的原则，构建具有安徽省高校学科优势特色的、适应高水平人才培养需要的高质量课程教材体系。鼓励申请使用面广、效果好、影响大的专业核心课程教材、实验实践类教材。</w:t>
      </w:r>
    </w:p>
    <w:p w14:paraId="0542DDFD">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教材要充分发挥育人功能，落实立德树人的根本任务，符合教学规律和认知规律，准确阐述本学科先进理论与概念，吸收国内外前沿研究成果，体例完整，结构科学，案例生动，深入浅出，有利于培养学生学习能力、实践能力和创新能力。教材建设要充分吸收教育信息化的成果，使得数字化教学资源能够服务于教学资源共享类课程的教材。</w:t>
      </w:r>
    </w:p>
    <w:p w14:paraId="267EEF5C">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教材编写团队结构合理，学术水平高。主编应具有中级及以上或博士学位，学术造诣深厚，教学经验丰富，组织协调能力强。注重吸收行业企业优秀人才参与教材建设，</w:t>
      </w:r>
      <w:r>
        <w:rPr>
          <w:rFonts w:ascii="仿宋" w:hAnsi="仿宋" w:eastAsia="仿宋" w:cs="宋体"/>
          <w:color w:val="000000"/>
          <w:kern w:val="0"/>
          <w:sz w:val="32"/>
          <w:szCs w:val="32"/>
        </w:rPr>
        <w:t>提高教材编写质量。</w:t>
      </w:r>
      <w:r>
        <w:rPr>
          <w:rFonts w:hint="eastAsia" w:ascii="仿宋" w:hAnsi="仿宋" w:eastAsia="仿宋" w:cs="宋体"/>
          <w:color w:val="000000"/>
          <w:kern w:val="0"/>
          <w:sz w:val="32"/>
          <w:szCs w:val="32"/>
        </w:rPr>
        <w:t>鼓励教学名师、高水平专家主编或参编教材。国家与省级教学名师或国家级精品课程主持人主编教材，以及特色专业、一流专业建设点主要专业课程教材，在同等条件下优先立项。</w:t>
      </w:r>
    </w:p>
    <w:p w14:paraId="6BEF9996">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以教育部公布的《普通高等学校本科专业目录（2025 年</w:t>
      </w:r>
      <w:r>
        <w:rPr>
          <w:rFonts w:ascii="仿宋" w:hAnsi="仿宋" w:eastAsia="仿宋" w:cs="宋体"/>
          <w:color w:val="000000"/>
          <w:kern w:val="0"/>
          <w:sz w:val="32"/>
          <w:szCs w:val="32"/>
        </w:rPr>
        <w:t>）》为依据，及时更新教材内容和结构。</w:t>
      </w:r>
    </w:p>
    <w:p w14:paraId="7D33E25D">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三、申请范围和要求</w:t>
      </w:r>
    </w:p>
    <w:p w14:paraId="3568C650">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申请一流教材可为新编教材、修订教材或数字教材，</w:t>
      </w:r>
      <w:r>
        <w:rPr>
          <w:rFonts w:ascii="仿宋" w:hAnsi="仿宋" w:eastAsia="仿宋" w:cs="宋体"/>
          <w:color w:val="000000"/>
          <w:kern w:val="0"/>
          <w:sz w:val="32"/>
          <w:szCs w:val="32"/>
        </w:rPr>
        <w:t>教材要充分吸收和应用现代教育信息化的成果，建立数字化教学资源。鼓励编写数字化等新介质教材</w:t>
      </w:r>
      <w:r>
        <w:rPr>
          <w:rFonts w:hint="eastAsia" w:ascii="仿宋" w:hAnsi="仿宋" w:eastAsia="仿宋" w:cs="宋体"/>
          <w:color w:val="000000"/>
          <w:kern w:val="0"/>
          <w:sz w:val="32"/>
          <w:szCs w:val="32"/>
        </w:rPr>
        <w:t>。</w:t>
      </w:r>
    </w:p>
    <w:p w14:paraId="58723711">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新编教材：重点推荐反映当代科学技术、文化的最新成果和成就，反映区域经济社会发展需要，在内容和体系上有明显特色的教材；教学改革力度较大的教材以及新兴、交叉学科、专业的教材；体现改革创新的实验教学教材和实习实训类教材；解决教学急需的教材。</w:t>
      </w:r>
    </w:p>
    <w:p w14:paraId="5D1D2977">
      <w:pPr>
        <w:widowControl/>
        <w:spacing w:line="560" w:lineRule="exact"/>
        <w:ind w:firstLine="640" w:firstLineChars="2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修订教材：已正式出版，编写质量高，使用、推广效果好的教材，可根据科学技术发展、学科发展和教学改革的需要，申请修订完善。</w:t>
      </w:r>
    </w:p>
    <w:p w14:paraId="3E4D26B1">
      <w:pPr>
        <w:topLinePunct/>
        <w:spacing w:line="560" w:lineRule="exact"/>
        <w:ind w:firstLine="640" w:firstLineChars="200"/>
        <w:jc w:val="both"/>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数</w:t>
      </w:r>
      <w:r>
        <w:rPr>
          <w:rFonts w:ascii="Times New Roman" w:eastAsia="仿宋" w:cs="仿宋_GB2312"/>
          <w:color w:val="auto"/>
          <w:sz w:val="32"/>
          <w:szCs w:val="32"/>
          <w:lang w:bidi="ar"/>
        </w:rPr>
        <w:t>字教材</w:t>
      </w:r>
      <w:r>
        <w:rPr>
          <w:rFonts w:hint="eastAsia" w:ascii="Times New Roman" w:eastAsia="仿宋" w:cs="仿宋_GB2312"/>
          <w:color w:val="auto"/>
          <w:sz w:val="32"/>
          <w:szCs w:val="32"/>
          <w:lang w:eastAsia="zh-CN" w:bidi="ar"/>
        </w:rPr>
        <w:t>：</w:t>
      </w:r>
      <w:r>
        <w:rPr>
          <w:rFonts w:ascii="Times New Roman" w:eastAsia="仿宋" w:cs="仿宋_GB2312"/>
          <w:color w:val="auto"/>
          <w:sz w:val="32"/>
          <w:szCs w:val="32"/>
          <w:lang w:bidi="ar"/>
        </w:rPr>
        <w:t>反映先进教学理念，充分利用信息技术，综合运用多种介质，开发建设可听、可视、可练、可互动的新形态教材，具有时效性、互动性、实用性。资源不存在版权问题。</w:t>
      </w:r>
    </w:p>
    <w:p w14:paraId="15AE75CC">
      <w:pPr>
        <w:widowControl/>
        <w:spacing w:line="560" w:lineRule="exact"/>
        <w:ind w:firstLine="643" w:firstLineChars="200"/>
        <w:rPr>
          <w:rFonts w:ascii="仿宋" w:hAnsi="仿宋" w:eastAsia="仿宋" w:cs="宋体"/>
          <w:b/>
          <w:bCs/>
          <w:color w:val="000000"/>
          <w:kern w:val="0"/>
          <w:sz w:val="32"/>
          <w:szCs w:val="32"/>
        </w:rPr>
      </w:pPr>
      <w:r>
        <w:rPr>
          <w:rFonts w:ascii="仿宋" w:hAnsi="仿宋" w:eastAsia="仿宋" w:cs="宋体"/>
          <w:b/>
          <w:bCs/>
          <w:color w:val="000000"/>
          <w:kern w:val="0"/>
          <w:sz w:val="32"/>
          <w:szCs w:val="32"/>
        </w:rPr>
        <w:t>四、教材的出版</w:t>
      </w:r>
    </w:p>
    <w:p w14:paraId="70F8F1AD">
      <w:pPr>
        <w:widowControl/>
        <w:spacing w:line="560" w:lineRule="exact"/>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为</w:t>
      </w:r>
      <w:r>
        <w:rPr>
          <w:rFonts w:hint="eastAsia" w:ascii="仿宋" w:hAnsi="仿宋" w:eastAsia="仿宋" w:cs="宋体"/>
          <w:color w:val="000000"/>
          <w:kern w:val="0"/>
          <w:sz w:val="32"/>
          <w:szCs w:val="32"/>
        </w:rPr>
        <w:t>提升</w:t>
      </w:r>
      <w:r>
        <w:rPr>
          <w:rFonts w:ascii="仿宋" w:hAnsi="仿宋" w:eastAsia="仿宋" w:cs="宋体"/>
          <w:color w:val="000000"/>
          <w:kern w:val="0"/>
          <w:sz w:val="32"/>
          <w:szCs w:val="32"/>
        </w:rPr>
        <w:t>教材</w:t>
      </w:r>
      <w:r>
        <w:rPr>
          <w:rFonts w:hint="eastAsia" w:ascii="仿宋" w:hAnsi="仿宋" w:eastAsia="仿宋" w:cs="宋体"/>
          <w:color w:val="000000"/>
          <w:kern w:val="0"/>
          <w:sz w:val="32"/>
          <w:szCs w:val="32"/>
        </w:rPr>
        <w:t>质量，优先支持与声誉较好的出版社联合申请的教材建设项目。</w:t>
      </w:r>
    </w:p>
    <w:p w14:paraId="288198F2">
      <w:pPr>
        <w:widowControl/>
        <w:spacing w:line="560" w:lineRule="exact"/>
        <w:ind w:firstLine="643" w:firstLineChars="200"/>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五、申请要求</w:t>
      </w:r>
    </w:p>
    <w:p w14:paraId="46D049F8">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1.同一主编、同一课程、不同出版单位的教材选题，不可重复申请。</w:t>
      </w:r>
    </w:p>
    <w:p w14:paraId="15D7DBBB">
      <w:pPr>
        <w:widowControl/>
        <w:spacing w:line="560" w:lineRule="exact"/>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立项教材建设周期为两年。申请人应在建设期内完成教材修订或编写。建设期满将进行验收。未通过验收的教材，应按验收意见在规定期限内完成修改，并再次提交验收。若仍达不到规定要求，将取消其教材建设项目立项资格。</w:t>
      </w:r>
    </w:p>
    <w:p w14:paraId="1B82E5A8">
      <w:pPr>
        <w:widowControl/>
        <w:spacing w:line="560" w:lineRule="exact"/>
        <w:ind w:firstLine="643" w:firstLineChars="200"/>
        <w:rPr>
          <w:rFonts w:hint="eastAsia" w:ascii="仿宋" w:hAnsi="仿宋" w:eastAsia="仿宋" w:cs="宋体"/>
          <w:b/>
          <w:bCs/>
          <w:color w:val="000000"/>
          <w:kern w:val="0"/>
          <w:sz w:val="32"/>
          <w:szCs w:val="32"/>
        </w:rPr>
      </w:pPr>
      <w:bookmarkStart w:id="19" w:name="_Toc32508"/>
      <w:bookmarkStart w:id="20" w:name="_Toc30932"/>
      <w:bookmarkStart w:id="21" w:name="_Toc121316392"/>
      <w:r>
        <w:rPr>
          <w:rFonts w:hint="eastAsia" w:ascii="仿宋" w:hAnsi="仿宋" w:eastAsia="仿宋" w:cs="宋体"/>
          <w:b/>
          <w:bCs/>
          <w:color w:val="000000"/>
          <w:kern w:val="0"/>
          <w:sz w:val="32"/>
          <w:szCs w:val="32"/>
          <w:lang w:val="en-US" w:eastAsia="zh-CN"/>
        </w:rPr>
        <w:t>六</w:t>
      </w:r>
      <w:r>
        <w:rPr>
          <w:rFonts w:hint="eastAsia" w:ascii="仿宋" w:hAnsi="仿宋" w:eastAsia="仿宋" w:cs="宋体"/>
          <w:b/>
          <w:bCs/>
          <w:color w:val="000000"/>
          <w:kern w:val="0"/>
          <w:sz w:val="32"/>
          <w:szCs w:val="32"/>
        </w:rPr>
        <w:t>、验收标准</w:t>
      </w:r>
    </w:p>
    <w:p w14:paraId="22F888E1">
      <w:pPr>
        <w:widowControl/>
        <w:spacing w:line="560" w:lineRule="exact"/>
        <w:ind w:firstLine="640" w:firstLineChars="200"/>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立项教材（含数字化教材）应在规定的建设周期内正式出版。</w:t>
      </w:r>
    </w:p>
    <w:tbl>
      <w:tblPr>
        <w:tblStyle w:val="14"/>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0"/>
        <w:gridCol w:w="8080"/>
      </w:tblGrid>
      <w:tr w14:paraId="3180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1300" w:type="dxa"/>
            <w:shd w:val="clear" w:color="auto" w:fill="auto"/>
            <w:noWrap/>
            <w:vAlign w:val="center"/>
          </w:tcPr>
          <w:p w14:paraId="17188ED0">
            <w:pPr>
              <w:widowControl/>
              <w:autoSpaceDE/>
              <w:autoSpaceDN/>
              <w:adjustRightInd/>
              <w:jc w:val="center"/>
              <w:rPr>
                <w:rFonts w:ascii="宋体" w:hAnsi="宋体" w:eastAsia="宋体" w:cs="宋体"/>
                <w:b/>
                <w:color w:val="auto"/>
                <w:sz w:val="28"/>
                <w:szCs w:val="28"/>
              </w:rPr>
            </w:pPr>
            <w:r>
              <w:rPr>
                <w:rFonts w:ascii="仿宋" w:hAnsi="仿宋" w:eastAsia="仿宋" w:cs="仿宋"/>
                <w:b/>
                <w:bCs/>
                <w:color w:val="auto"/>
                <w:spacing w:val="1"/>
                <w:sz w:val="24"/>
                <w:szCs w:val="24"/>
                <w:lang w:eastAsia="en-US"/>
              </w:rPr>
              <w:t>指标</w:t>
            </w:r>
          </w:p>
        </w:tc>
        <w:tc>
          <w:tcPr>
            <w:tcW w:w="8080" w:type="dxa"/>
            <w:vAlign w:val="center"/>
          </w:tcPr>
          <w:p w14:paraId="242B7052">
            <w:pPr>
              <w:widowControl/>
              <w:autoSpaceDE/>
              <w:autoSpaceDN/>
              <w:adjustRightInd/>
              <w:jc w:val="center"/>
              <w:rPr>
                <w:rFonts w:ascii="宋体" w:hAnsi="宋体" w:eastAsia="宋体" w:cs="宋体"/>
                <w:b/>
                <w:color w:val="auto"/>
                <w:sz w:val="28"/>
                <w:szCs w:val="28"/>
              </w:rPr>
            </w:pPr>
            <w:r>
              <w:rPr>
                <w:rFonts w:ascii="仿宋" w:hAnsi="仿宋" w:eastAsia="仿宋" w:cs="仿宋"/>
                <w:b/>
                <w:bCs/>
                <w:color w:val="auto"/>
                <w:spacing w:val="1"/>
                <w:sz w:val="24"/>
                <w:szCs w:val="24"/>
                <w:lang w:eastAsia="en-US"/>
              </w:rPr>
              <w:t>验收标准</w:t>
            </w:r>
          </w:p>
        </w:tc>
      </w:tr>
      <w:tr w14:paraId="1890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300" w:type="dxa"/>
            <w:vMerge w:val="restart"/>
            <w:shd w:val="clear" w:color="auto" w:fill="auto"/>
            <w:noWrap/>
            <w:vAlign w:val="center"/>
          </w:tcPr>
          <w:p w14:paraId="327DC49D">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课程思政</w:t>
            </w:r>
          </w:p>
        </w:tc>
        <w:tc>
          <w:tcPr>
            <w:tcW w:w="8080" w:type="dxa"/>
          </w:tcPr>
          <w:p w14:paraId="1DEC9806">
            <w:pPr>
              <w:widowControl/>
              <w:autoSpaceDE/>
              <w:autoSpaceDN/>
              <w:adjustRightInd/>
              <w:rPr>
                <w:rFonts w:ascii="宋体" w:hAnsi="宋体" w:eastAsia="宋体" w:cs="宋体"/>
                <w:color w:val="auto"/>
              </w:rPr>
            </w:pPr>
            <w:r>
              <w:rPr>
                <w:rFonts w:ascii="仿宋" w:hAnsi="仿宋" w:eastAsia="仿宋" w:cs="仿宋"/>
                <w:color w:val="auto"/>
                <w:spacing w:val="-1"/>
                <w:sz w:val="24"/>
                <w:szCs w:val="24"/>
              </w:rPr>
              <w:t>立德树人，政治思想导向正确，体现社会主义核心价值观，将专业精神、职业精神和工匠精神融入教材内容；教育理念体现当前国家职业教育教学改革方向和精神</w:t>
            </w:r>
          </w:p>
        </w:tc>
      </w:tr>
      <w:tr w14:paraId="60C3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300" w:type="dxa"/>
            <w:vMerge w:val="continue"/>
            <w:vAlign w:val="center"/>
          </w:tcPr>
          <w:p w14:paraId="092C3029">
            <w:pPr>
              <w:widowControl/>
              <w:autoSpaceDE/>
              <w:autoSpaceDN/>
              <w:adjustRightInd/>
              <w:rPr>
                <w:rFonts w:ascii="宋体" w:hAnsi="宋体" w:eastAsia="宋体" w:cs="宋体"/>
                <w:color w:val="auto"/>
              </w:rPr>
            </w:pPr>
          </w:p>
        </w:tc>
        <w:tc>
          <w:tcPr>
            <w:tcW w:w="8080" w:type="dxa"/>
          </w:tcPr>
          <w:p w14:paraId="7F404C7D">
            <w:pPr>
              <w:widowControl/>
              <w:autoSpaceDE/>
              <w:autoSpaceDN/>
              <w:adjustRightInd/>
              <w:rPr>
                <w:rFonts w:ascii="宋体" w:hAnsi="宋体" w:eastAsia="宋体" w:cs="宋体"/>
                <w:color w:val="auto"/>
              </w:rPr>
            </w:pPr>
            <w:r>
              <w:rPr>
                <w:rFonts w:ascii="仿宋" w:hAnsi="仿宋" w:eastAsia="仿宋" w:cs="仿宋"/>
                <w:color w:val="auto"/>
                <w:spacing w:val="-1"/>
                <w:sz w:val="24"/>
                <w:szCs w:val="24"/>
              </w:rPr>
              <w:t>依据国家课程改革精神，培养学生发展的核心素养；体现正确的办学理念；注重职业精神的培养；体现先进的教育理念</w:t>
            </w:r>
          </w:p>
        </w:tc>
      </w:tr>
      <w:tr w14:paraId="5F22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0" w:hRule="atLeast"/>
        </w:trPr>
        <w:tc>
          <w:tcPr>
            <w:tcW w:w="1300" w:type="dxa"/>
            <w:vMerge w:val="restart"/>
            <w:shd w:val="clear" w:color="auto" w:fill="auto"/>
            <w:noWrap/>
            <w:vAlign w:val="center"/>
          </w:tcPr>
          <w:p w14:paraId="3FBD4287">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教学内容</w:t>
            </w:r>
          </w:p>
        </w:tc>
        <w:tc>
          <w:tcPr>
            <w:tcW w:w="8080" w:type="dxa"/>
          </w:tcPr>
          <w:p w14:paraId="5AADF87A">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对基本理论和基本概念的叙述要准确无误，无科学性错误；知识体系应完整，知识点的推进能够做到循序渐进，符合知识的传承规律</w:t>
            </w:r>
          </w:p>
        </w:tc>
      </w:tr>
      <w:tr w14:paraId="6FCFD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300" w:type="dxa"/>
            <w:vMerge w:val="continue"/>
            <w:vAlign w:val="center"/>
          </w:tcPr>
          <w:p w14:paraId="41DB6903">
            <w:pPr>
              <w:widowControl/>
              <w:autoSpaceDE/>
              <w:autoSpaceDN/>
              <w:adjustRightInd/>
              <w:rPr>
                <w:rFonts w:ascii="宋体" w:hAnsi="宋体" w:eastAsia="宋体" w:cs="宋体"/>
                <w:color w:val="auto"/>
              </w:rPr>
            </w:pPr>
          </w:p>
        </w:tc>
        <w:tc>
          <w:tcPr>
            <w:tcW w:w="8080" w:type="dxa"/>
          </w:tcPr>
          <w:p w14:paraId="19586964">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教材内容的选取要适应一线教学需求和学情，要与学生的基础相适应，要与职业岗位需求相适应，要与学生的可持续发展相适应，能够适应产业结构调整和科技进步的需要</w:t>
            </w:r>
          </w:p>
        </w:tc>
      </w:tr>
      <w:tr w14:paraId="78830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00" w:type="dxa"/>
            <w:vMerge w:val="restart"/>
            <w:shd w:val="clear" w:color="auto" w:fill="auto"/>
            <w:noWrap/>
            <w:vAlign w:val="center"/>
          </w:tcPr>
          <w:p w14:paraId="13998F35">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体系结构</w:t>
            </w:r>
          </w:p>
        </w:tc>
        <w:tc>
          <w:tcPr>
            <w:tcW w:w="8080" w:type="dxa"/>
          </w:tcPr>
          <w:p w14:paraId="0517AE36">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教材的框架结构具有完整性，知识体系应具有系统性，知识关联应具有逻辑性</w:t>
            </w:r>
          </w:p>
        </w:tc>
      </w:tr>
      <w:tr w14:paraId="6802A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300" w:type="dxa"/>
            <w:vMerge w:val="continue"/>
            <w:vAlign w:val="center"/>
          </w:tcPr>
          <w:p w14:paraId="5668D4E5">
            <w:pPr>
              <w:widowControl/>
              <w:autoSpaceDE/>
              <w:autoSpaceDN/>
              <w:adjustRightInd/>
              <w:rPr>
                <w:rFonts w:ascii="宋体" w:hAnsi="宋体" w:eastAsia="宋体" w:cs="宋体"/>
                <w:color w:val="auto"/>
              </w:rPr>
            </w:pPr>
          </w:p>
        </w:tc>
        <w:tc>
          <w:tcPr>
            <w:tcW w:w="8080" w:type="dxa"/>
          </w:tcPr>
          <w:p w14:paraId="0EBC4729">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教材的知识体系符合学生的认知规律，教学理念应符合职业教育规律，思维方式应符合时代进步的发展规律，技能培养应符合技术技能型人才的成长规律</w:t>
            </w:r>
          </w:p>
        </w:tc>
      </w:tr>
      <w:tr w14:paraId="5A31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300" w:type="dxa"/>
            <w:vMerge w:val="restart"/>
            <w:shd w:val="clear" w:color="auto" w:fill="auto"/>
            <w:noWrap/>
            <w:vAlign w:val="center"/>
          </w:tcPr>
          <w:p w14:paraId="49D792F3">
            <w:pPr>
              <w:widowControl/>
              <w:autoSpaceDE/>
              <w:autoSpaceDN/>
              <w:adjustRightInd/>
              <w:rPr>
                <w:rFonts w:ascii="宋体" w:hAnsi="宋体" w:eastAsia="宋体" w:cs="宋体"/>
                <w:color w:val="auto"/>
              </w:rPr>
            </w:pPr>
            <w:r>
              <w:rPr>
                <w:rFonts w:ascii="仿宋" w:hAnsi="仿宋" w:eastAsia="仿宋" w:cs="仿宋"/>
                <w:b/>
                <w:bCs/>
                <w:color w:val="auto"/>
                <w:spacing w:val="1"/>
                <w:sz w:val="24"/>
                <w:szCs w:val="24"/>
                <w:lang w:eastAsia="en-US"/>
              </w:rPr>
              <w:t>呈现与载体形式</w:t>
            </w:r>
          </w:p>
        </w:tc>
        <w:tc>
          <w:tcPr>
            <w:tcW w:w="8080" w:type="dxa"/>
          </w:tcPr>
          <w:p w14:paraId="6E2D480B">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文字简洁易懂，图文设计编排配合得当，名词术语、文字、公式等符合国家出版规范，印刷和装帧形式有效服务于理解和接受知识</w:t>
            </w:r>
          </w:p>
        </w:tc>
      </w:tr>
      <w:tr w14:paraId="45E16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300" w:type="dxa"/>
            <w:vMerge w:val="continue"/>
            <w:vAlign w:val="center"/>
          </w:tcPr>
          <w:p w14:paraId="442D875C">
            <w:pPr>
              <w:widowControl/>
              <w:autoSpaceDE/>
              <w:autoSpaceDN/>
              <w:adjustRightInd/>
              <w:rPr>
                <w:rFonts w:ascii="宋体" w:hAnsi="宋体" w:eastAsia="宋体" w:cs="宋体"/>
                <w:color w:val="auto"/>
              </w:rPr>
            </w:pPr>
          </w:p>
        </w:tc>
        <w:tc>
          <w:tcPr>
            <w:tcW w:w="8080" w:type="dxa"/>
          </w:tcPr>
          <w:p w14:paraId="21AEB1A3">
            <w:pPr>
              <w:widowControl/>
              <w:autoSpaceDE/>
              <w:autoSpaceDN/>
              <w:adjustRightInd/>
              <w:rPr>
                <w:rFonts w:ascii="仿宋" w:hAnsi="仿宋" w:eastAsia="仿宋" w:cs="仿宋"/>
                <w:color w:val="auto"/>
                <w:spacing w:val="-1"/>
                <w:sz w:val="24"/>
                <w:szCs w:val="24"/>
              </w:rPr>
            </w:pPr>
            <w:r>
              <w:rPr>
                <w:rFonts w:ascii="仿宋" w:hAnsi="仿宋" w:eastAsia="仿宋" w:cs="仿宋"/>
                <w:color w:val="auto"/>
                <w:spacing w:val="-1"/>
                <w:sz w:val="24"/>
                <w:szCs w:val="24"/>
              </w:rPr>
              <w:t>采用适宜的数字教学资源表现知识内容，建立支持教和学各个环节的完备的资源库，多媒体素材质量高、平台界面友好、易于应用和传播</w:t>
            </w:r>
          </w:p>
        </w:tc>
      </w:tr>
    </w:tbl>
    <w:p w14:paraId="2D033068">
      <w:pPr>
        <w:widowControl/>
        <w:spacing w:line="560" w:lineRule="exact"/>
        <w:ind w:firstLine="640" w:firstLineChars="200"/>
        <w:rPr>
          <w:rFonts w:hint="eastAsia" w:ascii="仿宋" w:hAnsi="仿宋" w:eastAsia="仿宋" w:cs="宋体"/>
          <w:color w:val="000000"/>
          <w:kern w:val="0"/>
          <w:sz w:val="32"/>
          <w:szCs w:val="32"/>
        </w:rPr>
      </w:pPr>
    </w:p>
    <w:p w14:paraId="44FB8052">
      <w:pPr>
        <w:pStyle w:val="2"/>
        <w:spacing w:line="560" w:lineRule="exact"/>
        <w:jc w:val="both"/>
        <w:rPr>
          <w:rFonts w:hint="eastAsia" w:ascii="黑体" w:hAnsi="黑体" w:eastAsia="黑体"/>
          <w:b w:val="0"/>
          <w:kern w:val="0"/>
          <w:sz w:val="32"/>
          <w:szCs w:val="32"/>
        </w:rPr>
      </w:pPr>
    </w:p>
    <w:p w14:paraId="56843438">
      <w:pPr>
        <w:rPr>
          <w:rFonts w:hint="eastAsia"/>
        </w:rPr>
      </w:pPr>
    </w:p>
    <w:p w14:paraId="714AB978">
      <w:pPr>
        <w:pStyle w:val="2"/>
        <w:spacing w:line="560" w:lineRule="exact"/>
        <w:ind w:firstLine="640" w:firstLineChars="200"/>
        <w:jc w:val="center"/>
        <w:rPr>
          <w:rFonts w:ascii="黑体" w:hAnsi="黑体" w:eastAsia="黑体"/>
          <w:b w:val="0"/>
          <w:kern w:val="0"/>
          <w:sz w:val="32"/>
          <w:szCs w:val="32"/>
        </w:rPr>
      </w:pPr>
      <w:bookmarkStart w:id="22" w:name="_Toc16147"/>
      <w:r>
        <w:rPr>
          <w:rFonts w:hint="eastAsia" w:ascii="黑体" w:hAnsi="黑体" w:eastAsia="黑体"/>
          <w:b w:val="0"/>
          <w:kern w:val="0"/>
          <w:sz w:val="32"/>
          <w:szCs w:val="32"/>
        </w:rPr>
        <w:t>3.教育教学改革研究</w:t>
      </w:r>
      <w:bookmarkEnd w:id="19"/>
      <w:bookmarkEnd w:id="20"/>
      <w:bookmarkEnd w:id="21"/>
      <w:bookmarkEnd w:id="22"/>
    </w:p>
    <w:p w14:paraId="0CC590C5">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一、立项目标</w:t>
      </w:r>
    </w:p>
    <w:p w14:paraId="79EEC2CD">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通过开展教学改革研究工作，引导我校广大教师和教学管理人员，结合学校教育改革发展实际和学校教学改革、人才培养工作实际，深入研究高等教育可持续发展过程中的新课题、新情况、新要求，以理论指导实践，进一步深化教学改革，推进教学创新，形成一批有一定深度和推广价值的教学成果，为提高我校教育质量奠定坚实的理论和实践基础。</w:t>
      </w:r>
    </w:p>
    <w:p w14:paraId="5E11AC45">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二、研究内容</w:t>
      </w:r>
    </w:p>
    <w:p w14:paraId="24650712">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color w:val="000000"/>
          <w:kern w:val="0"/>
          <w:sz w:val="32"/>
          <w:szCs w:val="32"/>
        </w:rPr>
        <w:t>教学改革研究应体现现代教育思想，具有科学性、创新性、前瞻</w:t>
      </w:r>
      <w:r>
        <w:rPr>
          <w:rFonts w:hint="eastAsia" w:ascii="仿宋" w:hAnsi="仿宋" w:eastAsia="仿宋" w:cs="宋体"/>
          <w:kern w:val="0"/>
          <w:sz w:val="32"/>
          <w:szCs w:val="32"/>
        </w:rPr>
        <w:t>性和实践性。加强对高等教育发展与人才培养战略、人才培养体制与模式、专业改革与专业建设、课程体系与教学内容、教学手段与方法、教学管理与教学基本建设、师资队伍建设等方面的研究与实践。优先资助人才培养能力、各教学环节质量标准、质量保障与监控体系、专业建设与评估认证、课程建设与评估、课程思政建设、实践教学、创新创业等方面研究与实践。</w:t>
      </w:r>
    </w:p>
    <w:p w14:paraId="582E9694">
      <w:pPr>
        <w:pStyle w:val="13"/>
        <w:spacing w:before="0" w:beforeAutospacing="0" w:after="0" w:afterAutospacing="0" w:line="560" w:lineRule="exact"/>
        <w:ind w:firstLine="643" w:firstLineChars="200"/>
        <w:jc w:val="both"/>
        <w:rPr>
          <w:rFonts w:ascii="仿宋" w:hAnsi="仿宋" w:eastAsia="仿宋" w:cs="Times New Roman"/>
          <w:b/>
          <w:bCs/>
          <w:kern w:val="2"/>
          <w:sz w:val="32"/>
          <w:szCs w:val="32"/>
        </w:rPr>
      </w:pPr>
      <w:r>
        <w:rPr>
          <w:rFonts w:hint="eastAsia" w:ascii="仿宋" w:hAnsi="仿宋" w:eastAsia="仿宋" w:cs="Times New Roman"/>
          <w:b/>
          <w:bCs/>
          <w:kern w:val="2"/>
          <w:sz w:val="32"/>
          <w:szCs w:val="32"/>
        </w:rPr>
        <w:t>三、申报条件</w:t>
      </w:r>
    </w:p>
    <w:p w14:paraId="73215874">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1.申报范围：全校各教学单位。已经列入教育部、省教育厅、学校有关方面立项课题的不再重复申报。</w:t>
      </w:r>
    </w:p>
    <w:p w14:paraId="0E433CB1">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2.申报项目既要符合社会和经济发展需求，又要从我校高等教育教学改革的实际出发，注重系统研究、整体优化、综合实践，要有一定的推广性。</w:t>
      </w:r>
    </w:p>
    <w:p w14:paraId="36D931DB">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3.申报项目应具备一定的教学改革基础、环境和相应条件，在人员、财力、政策上有相应的保证，已取得一定研究成果。由学校教学管理部门负责督促检查项目进展情况。</w:t>
      </w:r>
    </w:p>
    <w:p w14:paraId="7A0CF615">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4.申报项目的主持人必须做到岗责相符，一线教师要聚焦研究微观内容，重点研究方向在课堂教学等方面。没有行政职务的一线教师只能开展教学技能、教学方法、教学课程改革和技能改革等提升课堂教学能力方面的研究，项目的题目设计要和本人的岗位相符。</w:t>
      </w:r>
    </w:p>
    <w:p w14:paraId="6AFC27CE">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5.申报项目的主持人以前所承担的省、校级教学研究项目已按规定程序结题，项目完成情况良好。</w:t>
      </w:r>
    </w:p>
    <w:p w14:paraId="095F2898">
      <w:pPr>
        <w:widowControl/>
        <w:adjustRightIn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6.申报教研项目负责人原则上应为一线教师或直接从事教学管理工作人员，且应具有扎实的项目相关研究基础。</w:t>
      </w:r>
    </w:p>
    <w:p w14:paraId="261F1BA4">
      <w:pPr>
        <w:widowControl/>
        <w:adjustRightInd w:val="0"/>
        <w:spacing w:line="560" w:lineRule="exact"/>
        <w:ind w:firstLine="643" w:firstLineChars="200"/>
        <w:rPr>
          <w:rFonts w:ascii="仿宋" w:hAnsi="仿宋" w:eastAsia="仿宋" w:cs="宋体"/>
          <w:b/>
          <w:bCs/>
          <w:kern w:val="0"/>
          <w:sz w:val="32"/>
          <w:szCs w:val="32"/>
        </w:rPr>
      </w:pPr>
      <w:bookmarkStart w:id="23" w:name="_Toc8836"/>
      <w:bookmarkStart w:id="24" w:name="_Toc15749"/>
      <w:r>
        <w:rPr>
          <w:rFonts w:hint="eastAsia" w:ascii="仿宋" w:hAnsi="仿宋" w:eastAsia="仿宋" w:cs="宋体"/>
          <w:b/>
          <w:bCs/>
          <w:kern w:val="0"/>
          <w:sz w:val="32"/>
          <w:szCs w:val="32"/>
        </w:rPr>
        <w:t>四、验收标准</w:t>
      </w:r>
    </w:p>
    <w:p w14:paraId="5F905850">
      <w:pPr>
        <w:widowControl/>
        <w:adjustRightInd w:val="0"/>
        <w:spacing w:line="560" w:lineRule="exact"/>
        <w:ind w:firstLine="640" w:firstLineChars="200"/>
        <w:rPr>
          <w:rFonts w:hint="eastAsia" w:ascii="仿宋" w:hAnsi="仿宋" w:eastAsia="仿宋" w:cs="宋体"/>
          <w:color w:val="000000"/>
          <w:kern w:val="0"/>
          <w:sz w:val="32"/>
          <w:szCs w:val="32"/>
          <w:lang w:eastAsia="zh-CN"/>
        </w:rPr>
      </w:pPr>
      <w:r>
        <w:rPr>
          <w:rFonts w:hint="eastAsia" w:ascii="仿宋" w:hAnsi="仿宋" w:eastAsia="仿宋" w:cs="宋体"/>
          <w:kern w:val="0"/>
          <w:sz w:val="32"/>
          <w:szCs w:val="32"/>
          <w:lang w:val="en-US" w:eastAsia="zh-CN"/>
        </w:rPr>
        <w:t>委托项目需</w:t>
      </w:r>
      <w:r>
        <w:rPr>
          <w:rFonts w:hint="eastAsia" w:ascii="仿宋" w:hAnsi="仿宋" w:eastAsia="仿宋" w:cs="宋体"/>
          <w:kern w:val="0"/>
          <w:sz w:val="32"/>
          <w:szCs w:val="32"/>
        </w:rPr>
        <w:t>完成项目研究任务，</w:t>
      </w:r>
      <w:r>
        <w:rPr>
          <w:rFonts w:hint="eastAsia" w:ascii="仿宋" w:hAnsi="仿宋" w:eastAsia="仿宋" w:cs="宋体"/>
          <w:kern w:val="0"/>
          <w:sz w:val="32"/>
          <w:szCs w:val="32"/>
          <w:lang w:val="en-US" w:eastAsia="zh-CN"/>
        </w:rPr>
        <w:t>出具研究报告，解决实际问题，根据实际结</w:t>
      </w:r>
      <w:bookmarkStart w:id="25" w:name="_GoBack"/>
      <w:bookmarkEnd w:id="25"/>
      <w:r>
        <w:rPr>
          <w:rFonts w:hint="eastAsia" w:ascii="仿宋" w:hAnsi="仿宋" w:eastAsia="仿宋" w:cs="宋体"/>
          <w:kern w:val="0"/>
          <w:sz w:val="32"/>
          <w:szCs w:val="32"/>
          <w:lang w:val="en-US" w:eastAsia="zh-CN"/>
        </w:rPr>
        <w:t>题要求完成项目建设。一般</w:t>
      </w:r>
      <w:r>
        <w:rPr>
          <w:rFonts w:hint="eastAsia" w:ascii="仿宋" w:hAnsi="仿宋" w:eastAsia="仿宋" w:cs="宋体"/>
          <w:kern w:val="0"/>
          <w:sz w:val="32"/>
          <w:szCs w:val="32"/>
        </w:rPr>
        <w:t>项目负责人</w:t>
      </w:r>
      <w:bookmarkEnd w:id="16"/>
      <w:bookmarkEnd w:id="17"/>
      <w:bookmarkEnd w:id="23"/>
      <w:bookmarkEnd w:id="24"/>
      <w:r>
        <w:rPr>
          <w:rFonts w:hint="eastAsia" w:ascii="仿宋" w:hAnsi="仿宋" w:eastAsia="仿宋" w:cs="宋体"/>
          <w:kern w:val="0"/>
          <w:sz w:val="32"/>
          <w:szCs w:val="32"/>
        </w:rPr>
        <w:t>形成任意1类成果</w:t>
      </w:r>
      <w:r>
        <w:rPr>
          <w:rFonts w:hint="eastAsia" w:ascii="仿宋" w:hAnsi="仿宋" w:eastAsia="仿宋" w:cs="宋体"/>
          <w:kern w:val="0"/>
          <w:sz w:val="32"/>
          <w:szCs w:val="32"/>
          <w:lang w:eastAsia="zh-CN"/>
        </w:rPr>
        <w:t>。</w:t>
      </w:r>
    </w:p>
    <w:sectPr>
      <w:footerReference r:id="rId8" w:type="default"/>
      <w:pgSz w:w="11900" w:h="16840"/>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26159"/>
    </w:sdtPr>
    <w:sdtContent>
      <w:sdt>
        <w:sdtPr>
          <w:id w:val="98381352"/>
        </w:sdtPr>
        <w:sdtContent>
          <w:p w14:paraId="42FF17B2">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27</w:t>
            </w:r>
            <w:r>
              <w:rPr>
                <w:b/>
                <w:sz w:val="24"/>
                <w:szCs w:val="24"/>
              </w:rPr>
              <w:fldChar w:fldCharType="end"/>
            </w:r>
          </w:p>
        </w:sdtContent>
      </w:sdt>
    </w:sdtContent>
  </w:sdt>
  <w:p w14:paraId="11B77BB5">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8B473">
    <w:pPr>
      <w:pStyle w:val="9"/>
      <w:framePr w:wrap="around" w:vAnchor="text" w:hAnchor="margin" w:xAlign="center" w:y="1"/>
      <w:rPr>
        <w:rStyle w:val="16"/>
      </w:rPr>
    </w:pPr>
    <w:r>
      <w:fldChar w:fldCharType="begin"/>
    </w:r>
    <w:r>
      <w:rPr>
        <w:rStyle w:val="16"/>
      </w:rPr>
      <w:instrText xml:space="preserve">PAGE  </w:instrText>
    </w:r>
    <w:r>
      <w:fldChar w:fldCharType="end"/>
    </w:r>
  </w:p>
  <w:p w14:paraId="1B135755">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7820D">
    <w:pPr>
      <w:pStyle w:val="9"/>
      <w:jc w:val="center"/>
    </w:pPr>
  </w:p>
  <w:p w14:paraId="22933AB1">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5D42C">
    <w:pPr>
      <w:pStyle w:val="9"/>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47476310"/>
                </w:sdtPr>
                <w:sdtContent>
                  <w:sdt>
                    <w:sdtPr>
                      <w:id w:val="147477986"/>
                    </w:sdtPr>
                    <w:sdtContent>
                      <w:p w14:paraId="4F35640E">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27</w:t>
                        </w:r>
                        <w:r>
                          <w:rPr>
                            <w:b/>
                            <w:sz w:val="24"/>
                            <w:szCs w:val="24"/>
                          </w:rPr>
                          <w:fldChar w:fldCharType="end"/>
                        </w:r>
                      </w:p>
                    </w:sdtContent>
                  </w:sdt>
                </w:sdtContent>
              </w:sdt>
              <w:p w14:paraId="09C49699"/>
            </w:txbxContent>
          </v:textbox>
        </v:shape>
      </w:pict>
    </w:r>
  </w:p>
  <w:p w14:paraId="17B678E1">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204EF">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004A2">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1MmE1MDM5Y2JkOTZjYzI0YTI5MmVmOGIyMTU1OTgifQ=="/>
  </w:docVars>
  <w:rsids>
    <w:rsidRoot w:val="005F03E6"/>
    <w:rsid w:val="00006B1B"/>
    <w:rsid w:val="000440F0"/>
    <w:rsid w:val="00057D96"/>
    <w:rsid w:val="00063C88"/>
    <w:rsid w:val="00084637"/>
    <w:rsid w:val="00097058"/>
    <w:rsid w:val="000A73A9"/>
    <w:rsid w:val="000E0754"/>
    <w:rsid w:val="000E1915"/>
    <w:rsid w:val="00100A3A"/>
    <w:rsid w:val="0016192F"/>
    <w:rsid w:val="0018024D"/>
    <w:rsid w:val="001C3DEB"/>
    <w:rsid w:val="001F46E0"/>
    <w:rsid w:val="00222425"/>
    <w:rsid w:val="00230F39"/>
    <w:rsid w:val="00266F4D"/>
    <w:rsid w:val="0029162D"/>
    <w:rsid w:val="002927A5"/>
    <w:rsid w:val="002A2598"/>
    <w:rsid w:val="002B2B14"/>
    <w:rsid w:val="002C7C70"/>
    <w:rsid w:val="002D66E1"/>
    <w:rsid w:val="0032549A"/>
    <w:rsid w:val="0034337B"/>
    <w:rsid w:val="003476CF"/>
    <w:rsid w:val="00347AA7"/>
    <w:rsid w:val="00347B34"/>
    <w:rsid w:val="00384492"/>
    <w:rsid w:val="003A79DA"/>
    <w:rsid w:val="003B02BD"/>
    <w:rsid w:val="003B55C2"/>
    <w:rsid w:val="003C10FC"/>
    <w:rsid w:val="003D3A81"/>
    <w:rsid w:val="003D781E"/>
    <w:rsid w:val="003F2E22"/>
    <w:rsid w:val="003F488E"/>
    <w:rsid w:val="00401C37"/>
    <w:rsid w:val="00402386"/>
    <w:rsid w:val="00403C7F"/>
    <w:rsid w:val="00434C21"/>
    <w:rsid w:val="00481A3A"/>
    <w:rsid w:val="00481FF3"/>
    <w:rsid w:val="004F384A"/>
    <w:rsid w:val="00512396"/>
    <w:rsid w:val="00534487"/>
    <w:rsid w:val="00555215"/>
    <w:rsid w:val="00556B46"/>
    <w:rsid w:val="00560844"/>
    <w:rsid w:val="005639CA"/>
    <w:rsid w:val="005725F0"/>
    <w:rsid w:val="00574442"/>
    <w:rsid w:val="005762FE"/>
    <w:rsid w:val="005861CF"/>
    <w:rsid w:val="005A578A"/>
    <w:rsid w:val="005B2C68"/>
    <w:rsid w:val="005C70ED"/>
    <w:rsid w:val="005F03E6"/>
    <w:rsid w:val="00616752"/>
    <w:rsid w:val="00637D1E"/>
    <w:rsid w:val="006474BA"/>
    <w:rsid w:val="00664BAF"/>
    <w:rsid w:val="00666A40"/>
    <w:rsid w:val="00673A40"/>
    <w:rsid w:val="00674FB5"/>
    <w:rsid w:val="00682AFF"/>
    <w:rsid w:val="006E6A4E"/>
    <w:rsid w:val="00704FB8"/>
    <w:rsid w:val="00722414"/>
    <w:rsid w:val="00747896"/>
    <w:rsid w:val="00751877"/>
    <w:rsid w:val="00764519"/>
    <w:rsid w:val="00772757"/>
    <w:rsid w:val="00775D85"/>
    <w:rsid w:val="007772C7"/>
    <w:rsid w:val="007A5F20"/>
    <w:rsid w:val="007A6DB7"/>
    <w:rsid w:val="007B4B34"/>
    <w:rsid w:val="007C6163"/>
    <w:rsid w:val="007F4E66"/>
    <w:rsid w:val="007F7750"/>
    <w:rsid w:val="008013A8"/>
    <w:rsid w:val="008131EC"/>
    <w:rsid w:val="0083375B"/>
    <w:rsid w:val="008563F1"/>
    <w:rsid w:val="008723CC"/>
    <w:rsid w:val="00873D28"/>
    <w:rsid w:val="00881B91"/>
    <w:rsid w:val="008839E2"/>
    <w:rsid w:val="008A20C6"/>
    <w:rsid w:val="008A470C"/>
    <w:rsid w:val="008B618F"/>
    <w:rsid w:val="008F5BE8"/>
    <w:rsid w:val="008F7377"/>
    <w:rsid w:val="00905998"/>
    <w:rsid w:val="00927185"/>
    <w:rsid w:val="009646B1"/>
    <w:rsid w:val="00972716"/>
    <w:rsid w:val="00997DA1"/>
    <w:rsid w:val="009B3F30"/>
    <w:rsid w:val="009D4FEF"/>
    <w:rsid w:val="009F4139"/>
    <w:rsid w:val="009F49F5"/>
    <w:rsid w:val="00A16CCD"/>
    <w:rsid w:val="00A349D5"/>
    <w:rsid w:val="00A365F8"/>
    <w:rsid w:val="00A84203"/>
    <w:rsid w:val="00A9456F"/>
    <w:rsid w:val="00AA2EB2"/>
    <w:rsid w:val="00AB03D0"/>
    <w:rsid w:val="00AD7943"/>
    <w:rsid w:val="00B11593"/>
    <w:rsid w:val="00B462F6"/>
    <w:rsid w:val="00B52FA3"/>
    <w:rsid w:val="00B81F81"/>
    <w:rsid w:val="00B95FB6"/>
    <w:rsid w:val="00BD6B16"/>
    <w:rsid w:val="00BF7F36"/>
    <w:rsid w:val="00C056E1"/>
    <w:rsid w:val="00C1229D"/>
    <w:rsid w:val="00C24962"/>
    <w:rsid w:val="00C51979"/>
    <w:rsid w:val="00C74D3A"/>
    <w:rsid w:val="00CE18A4"/>
    <w:rsid w:val="00CF4664"/>
    <w:rsid w:val="00D0448D"/>
    <w:rsid w:val="00D1631F"/>
    <w:rsid w:val="00D17594"/>
    <w:rsid w:val="00D309B3"/>
    <w:rsid w:val="00D33A06"/>
    <w:rsid w:val="00D547B3"/>
    <w:rsid w:val="00D65E58"/>
    <w:rsid w:val="00D92C44"/>
    <w:rsid w:val="00D94895"/>
    <w:rsid w:val="00DA062F"/>
    <w:rsid w:val="00DA4920"/>
    <w:rsid w:val="00DB617C"/>
    <w:rsid w:val="00DE3B55"/>
    <w:rsid w:val="00DE605A"/>
    <w:rsid w:val="00E04F8B"/>
    <w:rsid w:val="00E05B3E"/>
    <w:rsid w:val="00E37F07"/>
    <w:rsid w:val="00E4131F"/>
    <w:rsid w:val="00E52259"/>
    <w:rsid w:val="00E65519"/>
    <w:rsid w:val="00E70B7C"/>
    <w:rsid w:val="00E84957"/>
    <w:rsid w:val="00EC2E72"/>
    <w:rsid w:val="00EF6795"/>
    <w:rsid w:val="00EF7788"/>
    <w:rsid w:val="00F018D9"/>
    <w:rsid w:val="00F026F2"/>
    <w:rsid w:val="00F2433E"/>
    <w:rsid w:val="00F30ABB"/>
    <w:rsid w:val="00F5042D"/>
    <w:rsid w:val="00F768EA"/>
    <w:rsid w:val="00F90343"/>
    <w:rsid w:val="00F94DE2"/>
    <w:rsid w:val="00FB660F"/>
    <w:rsid w:val="00FE49CF"/>
    <w:rsid w:val="045B33D2"/>
    <w:rsid w:val="0C831DFB"/>
    <w:rsid w:val="0CD1621F"/>
    <w:rsid w:val="0CF76C34"/>
    <w:rsid w:val="0E97118F"/>
    <w:rsid w:val="0FBD0122"/>
    <w:rsid w:val="10084DC7"/>
    <w:rsid w:val="10264A11"/>
    <w:rsid w:val="13195E78"/>
    <w:rsid w:val="13C7771B"/>
    <w:rsid w:val="18107A26"/>
    <w:rsid w:val="1A5A2BCB"/>
    <w:rsid w:val="1B761E0D"/>
    <w:rsid w:val="1C9A77CA"/>
    <w:rsid w:val="1E081BFA"/>
    <w:rsid w:val="230B21F1"/>
    <w:rsid w:val="231B0889"/>
    <w:rsid w:val="23BC1050"/>
    <w:rsid w:val="25243CB6"/>
    <w:rsid w:val="25BE0D96"/>
    <w:rsid w:val="270432AD"/>
    <w:rsid w:val="28D25AA6"/>
    <w:rsid w:val="29FF6D9B"/>
    <w:rsid w:val="2A3B3E25"/>
    <w:rsid w:val="2B33475A"/>
    <w:rsid w:val="2BCC1DBF"/>
    <w:rsid w:val="31AE587E"/>
    <w:rsid w:val="32B80025"/>
    <w:rsid w:val="35727C2D"/>
    <w:rsid w:val="35740ACC"/>
    <w:rsid w:val="368D261D"/>
    <w:rsid w:val="37335AE2"/>
    <w:rsid w:val="39F23A32"/>
    <w:rsid w:val="3A7B4753"/>
    <w:rsid w:val="3F240CC1"/>
    <w:rsid w:val="3F3C0B84"/>
    <w:rsid w:val="3F632D05"/>
    <w:rsid w:val="4250579A"/>
    <w:rsid w:val="44F07E6C"/>
    <w:rsid w:val="464753E4"/>
    <w:rsid w:val="4A4E44F6"/>
    <w:rsid w:val="4D5068ED"/>
    <w:rsid w:val="4D580970"/>
    <w:rsid w:val="4E222378"/>
    <w:rsid w:val="4E7F5CF2"/>
    <w:rsid w:val="4FDE25F7"/>
    <w:rsid w:val="501513F2"/>
    <w:rsid w:val="5491100D"/>
    <w:rsid w:val="5607341F"/>
    <w:rsid w:val="58601698"/>
    <w:rsid w:val="587F2DFB"/>
    <w:rsid w:val="5B910582"/>
    <w:rsid w:val="5EAB124C"/>
    <w:rsid w:val="62ED4054"/>
    <w:rsid w:val="63C55DB0"/>
    <w:rsid w:val="66163235"/>
    <w:rsid w:val="68C122F8"/>
    <w:rsid w:val="6A231AB3"/>
    <w:rsid w:val="6C28551B"/>
    <w:rsid w:val="6FA53107"/>
    <w:rsid w:val="7185070D"/>
    <w:rsid w:val="73C544F2"/>
    <w:rsid w:val="74BE208C"/>
    <w:rsid w:val="7A010C19"/>
    <w:rsid w:val="7CF6609C"/>
    <w:rsid w:val="7DA93415"/>
    <w:rsid w:val="7E5206F7"/>
    <w:rsid w:val="7EAC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qFormat/>
    <w:uiPriority w:val="99"/>
    <w:pPr>
      <w:keepNext/>
      <w:keepLines/>
      <w:spacing w:before="260" w:after="260" w:line="416" w:lineRule="auto"/>
      <w:outlineLvl w:val="2"/>
    </w:pPr>
    <w:rPr>
      <w:rFonts w:ascii="等线" w:hAnsi="等线" w:eastAsia="等线" w:cs="Times New Roman"/>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unhideWhenUsed/>
    <w:qFormat/>
    <w:uiPriority w:val="1"/>
    <w:pPr>
      <w:ind w:left="218" w:firstLine="640"/>
    </w:pPr>
    <w:rPr>
      <w:sz w:val="32"/>
      <w:szCs w:val="32"/>
    </w:rPr>
  </w:style>
  <w:style w:type="paragraph" w:styleId="7">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szCs w:val="22"/>
    </w:rPr>
  </w:style>
  <w:style w:type="paragraph" w:styleId="8">
    <w:name w:val="Balloon Text"/>
    <w:basedOn w:val="1"/>
    <w:link w:val="21"/>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tabs>
        <w:tab w:val="right" w:leader="dot" w:pos="8290"/>
      </w:tabs>
      <w:adjustRightInd w:val="0"/>
      <w:spacing w:line="400" w:lineRule="exact"/>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6">
    <w:name w:val="page number"/>
    <w:basedOn w:val="15"/>
    <w:unhideWhenUsed/>
    <w:qFormat/>
    <w:uiPriority w:val="99"/>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paragraph" w:customStyle="1" w:styleId="19">
    <w:name w:val="_Style 3"/>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0">
    <w:name w:val="_Style 1"/>
    <w:basedOn w:val="1"/>
    <w:qFormat/>
    <w:uiPriority w:val="34"/>
    <w:pPr>
      <w:ind w:firstLine="420" w:firstLineChars="200"/>
    </w:pPr>
    <w:rPr>
      <w:szCs w:val="22"/>
    </w:rPr>
  </w:style>
  <w:style w:type="character" w:customStyle="1" w:styleId="21">
    <w:name w:val="批注框文本 Char"/>
    <w:basedOn w:val="15"/>
    <w:link w:val="8"/>
    <w:semiHidden/>
    <w:qFormat/>
    <w:uiPriority w:val="99"/>
    <w:rPr>
      <w:kern w:val="2"/>
      <w:sz w:val="18"/>
      <w:szCs w:val="18"/>
    </w:rPr>
  </w:style>
  <w:style w:type="character" w:customStyle="1" w:styleId="22">
    <w:name w:val="页脚 Char"/>
    <w:basedOn w:val="15"/>
    <w:link w:val="9"/>
    <w:qFormat/>
    <w:uiPriority w:val="99"/>
    <w:rPr>
      <w:kern w:val="2"/>
      <w:sz w:val="18"/>
      <w:szCs w:val="18"/>
    </w:rPr>
  </w:style>
  <w:style w:type="character" w:customStyle="1" w:styleId="23">
    <w:name w:val="标题 2 Char"/>
    <w:basedOn w:val="15"/>
    <w:link w:val="3"/>
    <w:qFormat/>
    <w:uiPriority w:val="9"/>
    <w:rPr>
      <w:rFonts w:asciiTheme="majorHAnsi" w:hAnsiTheme="majorHAnsi" w:eastAsiaTheme="majorEastAsia" w:cstheme="majorBidi"/>
      <w:b/>
      <w:bCs/>
      <w:kern w:val="2"/>
      <w:sz w:val="32"/>
      <w:szCs w:val="32"/>
    </w:rPr>
  </w:style>
  <w:style w:type="paragraph" w:customStyle="1" w:styleId="24">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25">
    <w:name w:val="标题 3 Char"/>
    <w:basedOn w:val="15"/>
    <w:link w:val="4"/>
    <w:qFormat/>
    <w:uiPriority w:val="99"/>
    <w:rPr>
      <w:rFonts w:ascii="等线" w:hAnsi="等线" w:eastAsia="等线"/>
      <w:b/>
      <w:bCs/>
      <w:kern w:val="2"/>
      <w:sz w:val="32"/>
      <w:szCs w:val="32"/>
    </w:rPr>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5388</Words>
  <Characters>5539</Characters>
  <Lines>94</Lines>
  <Paragraphs>26</Paragraphs>
  <TotalTime>3</TotalTime>
  <ScaleCrop>false</ScaleCrop>
  <LinksUpToDate>false</LinksUpToDate>
  <CharactersWithSpaces>5581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2019-08-03T07:17:00Z</dcterms:created>
  <dc:creator>yang</dc:creator>
  <cp:lastModifiedBy>1</cp:lastModifiedBy>
  <cp:lastPrinted>2025-11-18T07:37:00Z</cp:lastPrinted>
  <dcterms:modified xsi:type="dcterms:W3CDTF">2025-11-20T02:33:52Z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FB285D49980F420885056F54E7E3150E_12</vt:lpwstr>
  </property>
  <property fmtid="{D5CDD505-2E9C-101B-9397-08002B2CF9AE}" pid="4" name="KSOTemplateDocerSaveRecord">
    <vt:lpwstr>eyJoZGlkIjoiOGNmODk2Yjc1NjZiNGFhMmM4ODFhZDBkZjQxNTU1NGEiLCJ1c2VySWQiOiI0NjIwNDM2MDMifQ==</vt:lpwstr>
  </property>
</Properties>
</file>