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危化品使用手册</w:t>
      </w:r>
    </w:p>
    <w:p>
      <w:pPr>
        <w:spacing w:line="560" w:lineRule="exact"/>
        <w:ind w:firstLine="480" w:firstLineChars="200"/>
        <w:rPr>
          <w:rFonts w:ascii="宋体"/>
          <w:sz w:val="24"/>
        </w:rPr>
      </w:pPr>
      <w:r>
        <w:rPr>
          <w:rFonts w:hint="eastAsia" w:ascii="宋体" w:hAnsi="宋体"/>
          <w:sz w:val="24"/>
        </w:rPr>
        <w:t>本系统对危化品的管理流程归纳为：危化品申请</w:t>
      </w:r>
      <w:r>
        <w:rPr>
          <w:rFonts w:hint="eastAsia" w:ascii="宋体"/>
          <w:sz w:val="24"/>
        </w:rPr>
        <w:t>→</w:t>
      </w:r>
      <w:r>
        <w:rPr>
          <w:rFonts w:hint="eastAsia" w:ascii="宋体" w:hAnsi="宋体"/>
          <w:sz w:val="24"/>
        </w:rPr>
        <w:t>订单确认</w:t>
      </w:r>
      <w:r>
        <w:rPr>
          <w:rFonts w:hint="eastAsia" w:ascii="宋体"/>
          <w:sz w:val="24"/>
        </w:rPr>
        <w:t>→</w:t>
      </w:r>
      <w:r>
        <w:rPr>
          <w:rFonts w:hint="eastAsia" w:ascii="宋体" w:hAnsi="宋体"/>
          <w:sz w:val="24"/>
        </w:rPr>
        <w:t>确认收货</w:t>
      </w:r>
      <w:r>
        <w:rPr>
          <w:rFonts w:hint="eastAsia" w:ascii="宋体"/>
          <w:sz w:val="24"/>
        </w:rPr>
        <w:t>→</w:t>
      </w:r>
      <w:r>
        <w:rPr>
          <w:rFonts w:hint="eastAsia" w:ascii="宋体" w:hAnsi="宋体"/>
          <w:sz w:val="24"/>
        </w:rPr>
        <w:t>入库登记</w:t>
      </w:r>
      <w:r>
        <w:rPr>
          <w:rFonts w:hint="eastAsia" w:ascii="宋体"/>
          <w:sz w:val="24"/>
        </w:rPr>
        <w:t>→</w:t>
      </w:r>
      <w:r>
        <w:rPr>
          <w:rFonts w:hint="eastAsia" w:ascii="宋体" w:hAnsi="宋体"/>
          <w:sz w:val="24"/>
        </w:rPr>
        <w:t>领用申请</w:t>
      </w:r>
      <w:r>
        <w:rPr>
          <w:rFonts w:hint="eastAsia" w:ascii="宋体"/>
          <w:sz w:val="24"/>
        </w:rPr>
        <w:t>→</w:t>
      </w:r>
      <w:r>
        <w:rPr>
          <w:rFonts w:hint="eastAsia" w:ascii="宋体" w:hAnsi="宋体"/>
          <w:sz w:val="24"/>
        </w:rPr>
        <w:t>领用出库</w:t>
      </w:r>
      <w:r>
        <w:rPr>
          <w:rFonts w:hint="eastAsia" w:ascii="宋体"/>
          <w:sz w:val="24"/>
        </w:rPr>
        <w:t>→</w:t>
      </w:r>
      <w:r>
        <w:rPr>
          <w:rFonts w:hint="eastAsia" w:ascii="宋体" w:hAnsi="宋体"/>
          <w:sz w:val="24"/>
        </w:rPr>
        <w:t>废弃物处置。具体操作如下：</w:t>
      </w:r>
    </w:p>
    <w:p>
      <w:pPr>
        <w:spacing w:line="560" w:lineRule="exact"/>
        <w:ind w:firstLine="480" w:firstLineChars="200"/>
        <w:rPr>
          <w:rFonts w:ascii="宋体"/>
          <w:sz w:val="24"/>
        </w:rPr>
      </w:pPr>
      <w:r>
        <w:rPr>
          <w:rFonts w:ascii="宋体" w:hAnsi="宋体"/>
          <w:sz w:val="24"/>
        </w:rPr>
        <w:t>1</w:t>
      </w:r>
      <w:r>
        <w:rPr>
          <w:rFonts w:ascii="宋体"/>
          <w:sz w:val="24"/>
        </w:rPr>
        <w:t>.</w:t>
      </w:r>
      <w:r>
        <w:rPr>
          <w:rFonts w:hint="eastAsia" w:ascii="宋体"/>
          <w:sz w:val="24"/>
          <w:lang w:eastAsia="zh-CN"/>
        </w:rPr>
        <w:t>从</w:t>
      </w:r>
      <w:r>
        <w:rPr>
          <w:rFonts w:hint="eastAsia" w:ascii="宋体" w:hAnsi="宋体"/>
          <w:sz w:val="24"/>
        </w:rPr>
        <w:t>安徽建筑大学</w:t>
      </w:r>
      <w:r>
        <w:rPr>
          <w:rFonts w:hint="eastAsia" w:ascii="宋体" w:hAnsi="宋体"/>
          <w:sz w:val="24"/>
          <w:lang w:eastAsia="zh-CN"/>
        </w:rPr>
        <w:t>信息门户进入实验室与设备管理平台</w:t>
      </w:r>
      <w:r>
        <w:rPr>
          <w:rFonts w:hint="eastAsia" w:ascii="宋体" w:hAnsi="宋体"/>
          <w:sz w:val="24"/>
        </w:rPr>
        <w:t>进入系统</w:t>
      </w:r>
    </w:p>
    <w:p>
      <w:r>
        <w:rPr>
          <w:rFonts w:hint="eastAsia" w:eastAsia="宋体"/>
          <w:lang w:eastAsia="zh-CN"/>
        </w:rPr>
        <w:pict>
          <v:shape id="_x0000_i1025" o:spt="75" alt="1" type="#_x0000_t75" style="height:275.05pt;width:415pt;" filled="f" o:preferrelative="t" stroked="f" coordsize="21600,21600">
            <v:path/>
            <v:fill on="f" focussize="0,0"/>
            <v:stroke on="f"/>
            <v:imagedata r:id="rId4" croptop="1170f" o:title="1"/>
            <o:lock v:ext="edit" aspectratio="t"/>
            <w10:wrap type="none"/>
            <w10:anchorlock/>
          </v:shape>
        </w:pict>
      </w:r>
    </w:p>
    <w:p>
      <w:pPr>
        <w:spacing w:line="560" w:lineRule="exact"/>
        <w:ind w:firstLine="480" w:firstLineChars="200"/>
        <w:rPr>
          <w:rFonts w:ascii="宋体"/>
          <w:sz w:val="24"/>
        </w:rPr>
      </w:pPr>
      <w:r>
        <w:rPr>
          <w:rFonts w:ascii="宋体" w:hAnsi="宋体"/>
          <w:sz w:val="24"/>
        </w:rPr>
        <w:t>2</w:t>
      </w:r>
      <w:r>
        <w:rPr>
          <w:rFonts w:ascii="宋体"/>
          <w:sz w:val="24"/>
        </w:rPr>
        <w:t>.</w:t>
      </w:r>
      <w:r>
        <w:rPr>
          <w:rFonts w:ascii="宋体" w:hAnsi="宋体"/>
          <w:sz w:val="24"/>
        </w:rPr>
        <w:t>点击</w:t>
      </w:r>
      <w:r>
        <w:rPr>
          <w:rFonts w:hint="eastAsia" w:ascii="宋体" w:hAnsi="宋体"/>
          <w:sz w:val="24"/>
          <w:lang w:eastAsia="zh-CN"/>
        </w:rPr>
        <w:t>实验室综合（易耗品、化学品、门禁）管理</w:t>
      </w:r>
      <w:r>
        <w:rPr>
          <w:rFonts w:hint="eastAsia" w:ascii="宋体" w:hAnsi="宋体"/>
          <w:sz w:val="24"/>
        </w:rPr>
        <w:t>。</w:t>
      </w:r>
    </w:p>
    <w:p>
      <w:r>
        <w:rPr>
          <w:rFonts w:hint="eastAsia" w:eastAsia="宋体"/>
          <w:lang w:eastAsia="zh-CN"/>
        </w:rPr>
        <w:pict>
          <v:shape id="_x0000_i1026" o:spt="75" alt="2" type="#_x0000_t75" style="height:164.05pt;width:414.75pt;" filled="f" o:preferrelative="t" stroked="f" coordsize="21600,21600">
            <v:path/>
            <v:fill on="f" focussize="0,0"/>
            <v:stroke on="f"/>
            <v:imagedata r:id="rId5" o:title="2"/>
            <o:lock v:ext="edit" aspectratio="t"/>
            <w10:wrap type="none"/>
            <w10:anchorlock/>
          </v:shape>
        </w:pict>
      </w:r>
    </w:p>
    <w:p>
      <w:pPr>
        <w:spacing w:line="560" w:lineRule="exact"/>
        <w:ind w:firstLine="480" w:firstLineChars="200"/>
        <w:rPr>
          <w:rFonts w:ascii="宋体"/>
          <w:sz w:val="24"/>
        </w:rPr>
      </w:pPr>
      <w:r>
        <w:rPr>
          <w:rFonts w:ascii="宋体" w:hAnsi="宋体"/>
          <w:sz w:val="24"/>
        </w:rPr>
        <w:t>3</w:t>
      </w:r>
      <w:r>
        <w:rPr>
          <w:rFonts w:ascii="宋体"/>
          <w:sz w:val="24"/>
        </w:rPr>
        <w:t>.</w:t>
      </w:r>
      <w:r>
        <w:rPr>
          <w:rFonts w:hint="eastAsia" w:ascii="宋体" w:hAnsi="宋体"/>
          <w:sz w:val="24"/>
        </w:rPr>
        <w:t>进入系统点击</w:t>
      </w:r>
      <w:r>
        <w:rPr>
          <w:rFonts w:hint="eastAsia" w:ascii="宋体" w:hAnsi="宋体"/>
          <w:sz w:val="24"/>
          <w:lang w:eastAsia="zh-CN"/>
        </w:rPr>
        <w:t>化学</w:t>
      </w:r>
      <w:r>
        <w:rPr>
          <w:rFonts w:hint="eastAsia" w:ascii="宋体" w:hAnsi="宋体"/>
          <w:sz w:val="24"/>
        </w:rPr>
        <w:t>品模块中的</w:t>
      </w:r>
      <w:r>
        <w:rPr>
          <w:rFonts w:hint="eastAsia" w:ascii="宋体" w:hAnsi="宋体"/>
          <w:sz w:val="24"/>
          <w:lang w:eastAsia="zh-CN"/>
        </w:rPr>
        <w:t>申购管理</w:t>
      </w:r>
      <w:r>
        <w:rPr>
          <w:rFonts w:hint="eastAsia" w:ascii="宋体" w:hAnsi="宋体"/>
          <w:sz w:val="24"/>
          <w:lang w:val="en-US" w:eastAsia="zh-CN"/>
        </w:rPr>
        <w:t>-</w:t>
      </w:r>
      <w:r>
        <w:rPr>
          <w:rFonts w:hint="eastAsia" w:ascii="宋体" w:hAnsi="宋体"/>
          <w:sz w:val="24"/>
          <w:lang w:eastAsia="zh-CN"/>
        </w:rPr>
        <w:t>化学</w:t>
      </w:r>
      <w:r>
        <w:rPr>
          <w:rFonts w:hint="eastAsia" w:ascii="宋体" w:hAnsi="宋体"/>
          <w:sz w:val="24"/>
        </w:rPr>
        <w:t>品申请</w:t>
      </w:r>
      <w:r>
        <w:rPr>
          <w:rFonts w:hint="eastAsia" w:ascii="宋体" w:hAnsi="宋体"/>
          <w:sz w:val="24"/>
          <w:lang w:val="en-US" w:eastAsia="zh-CN"/>
        </w:rPr>
        <w:t>-点我申请</w:t>
      </w:r>
      <w:r>
        <w:rPr>
          <w:rFonts w:hint="eastAsia" w:ascii="宋体" w:hAnsi="宋体"/>
          <w:sz w:val="24"/>
        </w:rPr>
        <w:t>，进入申请流程。</w:t>
      </w:r>
    </w:p>
    <w:p>
      <w:r>
        <w:pict>
          <v:shape id="_x0000_i1027" o:spt="75" type="#_x0000_t75" style="height:155.25pt;width:403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"/>
        </w:numPr>
        <w:spacing w:line="560" w:lineRule="exact"/>
        <w:ind w:firstLine="480" w:firstLineChars="200"/>
        <w:rPr>
          <w:rFonts w:ascii="宋体"/>
          <w:sz w:val="24"/>
        </w:rPr>
      </w:pPr>
      <w:r>
        <w:rPr>
          <w:rFonts w:hint="eastAsia" w:ascii="宋体" w:hAnsi="宋体"/>
          <w:sz w:val="24"/>
        </w:rPr>
        <w:t>填写基础信息和危化品信息完毕后，点击提交审批，等待审批结束。</w:t>
      </w:r>
    </w:p>
    <w:p>
      <w:pPr>
        <w:spacing w:line="560" w:lineRule="exact"/>
        <w:rPr>
          <w:rFonts w:ascii="宋体"/>
          <w:sz w:val="24"/>
        </w:rPr>
      </w:pPr>
      <w:r>
        <w:rPr>
          <w:rFonts w:ascii="宋体" w:hAnsi="宋体"/>
          <w:sz w:val="24"/>
        </w:rPr>
        <w:t>(</w:t>
      </w:r>
      <w:r>
        <w:rPr>
          <w:rFonts w:hint="eastAsia" w:ascii="宋体" w:hAnsi="宋体"/>
          <w:sz w:val="24"/>
        </w:rPr>
        <w:t>填写药品时若下拉框中没有，则表示该药品在系统中没有，请下载模板，填写好后发给管理员。提交审批后请通知下一审批人审批）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39" o:spt="75" alt="1" type="#_x0000_t75" style="height:209.25pt;width:414.6pt;" filled="f" o:preferrelative="t" stroked="f" coordsize="21600,21600">
            <v:path/>
            <v:fill on="f" focussize="0,0"/>
            <v:stroke on="f"/>
            <v:imagedata r:id="rId7" o:title="1"/>
            <o:lock v:ext="edit" aspectratio="t"/>
            <w10:wrap type="none"/>
            <w10:anchorlock/>
          </v:shape>
        </w:pict>
      </w:r>
    </w:p>
    <w:p/>
    <w:p>
      <w:pPr>
        <w:spacing w:line="560" w:lineRule="exact"/>
        <w:ind w:firstLine="480" w:firstLineChars="200"/>
        <w:rPr>
          <w:rFonts w:ascii="宋体"/>
          <w:sz w:val="24"/>
        </w:rPr>
      </w:pPr>
    </w:p>
    <w:p>
      <w:pPr>
        <w:spacing w:line="560" w:lineRule="exact"/>
        <w:ind w:firstLine="480" w:firstLineChars="200"/>
        <w:rPr>
          <w:rFonts w:ascii="宋体"/>
          <w:sz w:val="24"/>
        </w:rPr>
      </w:pPr>
    </w:p>
    <w:p>
      <w:pPr>
        <w:spacing w:line="560" w:lineRule="exact"/>
        <w:ind w:firstLine="480" w:firstLineChars="200"/>
        <w:rPr>
          <w:rFonts w:ascii="宋体"/>
          <w:sz w:val="24"/>
        </w:rPr>
      </w:pPr>
    </w:p>
    <w:p>
      <w:pPr>
        <w:spacing w:line="560" w:lineRule="exact"/>
        <w:ind w:firstLine="480" w:firstLineChars="200"/>
        <w:rPr>
          <w:rFonts w:ascii="宋体"/>
          <w:sz w:val="24"/>
        </w:rPr>
      </w:pPr>
    </w:p>
    <w:p>
      <w:pPr>
        <w:spacing w:line="560" w:lineRule="exact"/>
        <w:ind w:firstLine="480" w:firstLineChars="200"/>
        <w:rPr>
          <w:rFonts w:ascii="宋体"/>
          <w:sz w:val="24"/>
        </w:rPr>
      </w:pPr>
    </w:p>
    <w:p>
      <w:pPr>
        <w:spacing w:line="560" w:lineRule="exact"/>
        <w:ind w:firstLine="480" w:firstLineChars="200"/>
        <w:rPr>
          <w:rFonts w:ascii="宋体"/>
          <w:sz w:val="24"/>
        </w:rPr>
      </w:pPr>
    </w:p>
    <w:p>
      <w:pPr>
        <w:spacing w:line="560" w:lineRule="exact"/>
        <w:ind w:firstLine="480" w:firstLineChars="200"/>
        <w:rPr>
          <w:rFonts w:ascii="宋体"/>
          <w:sz w:val="24"/>
        </w:rPr>
      </w:pPr>
    </w:p>
    <w:p>
      <w:pPr>
        <w:spacing w:line="560" w:lineRule="exact"/>
        <w:ind w:firstLine="480" w:firstLineChars="200"/>
        <w:rPr>
          <w:rFonts w:ascii="宋体"/>
          <w:sz w:val="24"/>
        </w:rPr>
      </w:pPr>
      <w:bookmarkStart w:id="0" w:name="_GoBack"/>
      <w:bookmarkEnd w:id="0"/>
      <w:r>
        <w:rPr>
          <w:rFonts w:ascii="宋体" w:hAnsi="宋体"/>
          <w:sz w:val="24"/>
        </w:rPr>
        <w:t>5</w:t>
      </w:r>
      <w:r>
        <w:rPr>
          <w:rFonts w:ascii="宋体"/>
          <w:sz w:val="24"/>
        </w:rPr>
        <w:t>.</w:t>
      </w:r>
      <w:r>
        <w:rPr>
          <w:rFonts w:hint="eastAsia" w:ascii="宋体" w:hAnsi="宋体"/>
          <w:sz w:val="24"/>
        </w:rPr>
        <w:t>在订单确认界面，可以查看当前审批状态。审批通过后，点击申请条目右侧的订单确认，并在货物达到后点击已生成订单中的确认收货。</w:t>
      </w:r>
    </w:p>
    <w:p>
      <w:r>
        <w:pict>
          <v:shape id="_x0000_i1029" o:spt="75" type="#_x0000_t75" style="height:186.75pt;width:406.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r>
        <w:pict>
          <v:shape id="_x0000_i1030" o:spt="75" type="#_x0000_t75" style="height:187.5pt;width:406.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spacing w:line="560" w:lineRule="exact"/>
        <w:ind w:firstLine="480" w:firstLineChars="200"/>
        <w:rPr>
          <w:rFonts w:ascii="宋体"/>
          <w:sz w:val="24"/>
        </w:rPr>
      </w:pPr>
      <w:r>
        <w:rPr>
          <w:rFonts w:ascii="宋体" w:hAnsi="宋体"/>
          <w:sz w:val="24"/>
        </w:rPr>
        <w:t>6</w:t>
      </w:r>
      <w:r>
        <w:rPr>
          <w:rFonts w:ascii="宋体"/>
          <w:sz w:val="24"/>
        </w:rPr>
        <w:t>.</w:t>
      </w:r>
      <w:r>
        <w:rPr>
          <w:rFonts w:hint="eastAsia" w:ascii="宋体" w:hAnsi="宋体"/>
          <w:sz w:val="24"/>
        </w:rPr>
        <w:t>物资购买成功后，点击验收管理中的入库登记，把所购物资进行入库登记。</w:t>
      </w:r>
    </w:p>
    <w:p>
      <w:r>
        <w:pict>
          <v:shape id="_x0000_i1031" o:spt="75" type="#_x0000_t75" style="height:156.75pt;width:415.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spacing w:line="560" w:lineRule="exact"/>
        <w:ind w:firstLine="480" w:firstLineChars="200"/>
        <w:rPr>
          <w:rFonts w:ascii="宋体"/>
          <w:sz w:val="24"/>
        </w:rPr>
      </w:pPr>
    </w:p>
    <w:p>
      <w:pPr>
        <w:spacing w:line="560" w:lineRule="exact"/>
        <w:ind w:firstLine="480" w:firstLineChars="200"/>
        <w:rPr>
          <w:rFonts w:ascii="宋体"/>
          <w:sz w:val="24"/>
        </w:rPr>
      </w:pPr>
      <w:r>
        <w:rPr>
          <w:rFonts w:ascii="宋体" w:hAnsi="宋体"/>
          <w:sz w:val="24"/>
        </w:rPr>
        <w:t>7</w:t>
      </w:r>
      <w:r>
        <w:rPr>
          <w:rFonts w:ascii="宋体"/>
          <w:sz w:val="24"/>
        </w:rPr>
        <w:t>.</w:t>
      </w:r>
      <w:r>
        <w:rPr>
          <w:rFonts w:hint="eastAsia" w:ascii="宋体" w:hAnsi="宋体"/>
          <w:sz w:val="24"/>
        </w:rPr>
        <w:t>在入库登记中，点击已收货订单，选择所申请物资右侧的选我吧。填写相应基础信息和危化品信息后点击保存，在返回页面中提交审批。待审批通过后，点击提交入库，物资方可入库。</w:t>
      </w:r>
    </w:p>
    <w:p>
      <w:r>
        <w:pict>
          <v:shape id="_x0000_i1032" o:spt="75" type="#_x0000_t75" style="height:188.25pt;width:408.7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r>
        <w:pict>
          <v:shape id="_x0000_i1033" o:spt="75" type="#_x0000_t75" style="height:149.25pt;width:40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r>
        <w:pict>
          <v:shape id="_x0000_i1034" o:spt="75" type="#_x0000_t75" style="height:150pt;width:406.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spacing w:line="560" w:lineRule="exact"/>
        <w:ind w:firstLine="480" w:firstLineChars="200"/>
        <w:rPr>
          <w:rFonts w:ascii="宋体"/>
          <w:sz w:val="24"/>
        </w:rPr>
      </w:pPr>
    </w:p>
    <w:p>
      <w:pPr>
        <w:spacing w:line="560" w:lineRule="exact"/>
        <w:ind w:firstLine="480" w:firstLineChars="200"/>
        <w:rPr>
          <w:rFonts w:ascii="宋体"/>
          <w:sz w:val="24"/>
        </w:rPr>
      </w:pPr>
    </w:p>
    <w:p>
      <w:pPr>
        <w:spacing w:line="560" w:lineRule="exact"/>
        <w:ind w:firstLine="480" w:firstLineChars="200"/>
        <w:rPr>
          <w:rFonts w:ascii="宋体"/>
          <w:sz w:val="24"/>
        </w:rPr>
      </w:pPr>
    </w:p>
    <w:p>
      <w:pPr>
        <w:spacing w:line="560" w:lineRule="exact"/>
        <w:ind w:firstLine="480" w:firstLineChars="200"/>
        <w:rPr>
          <w:rFonts w:ascii="宋体"/>
          <w:sz w:val="24"/>
        </w:rPr>
      </w:pPr>
      <w:r>
        <w:rPr>
          <w:rFonts w:ascii="宋体" w:hAnsi="宋体"/>
          <w:sz w:val="24"/>
        </w:rPr>
        <w:t>8</w:t>
      </w:r>
      <w:r>
        <w:rPr>
          <w:rFonts w:ascii="宋体"/>
          <w:sz w:val="24"/>
        </w:rPr>
        <w:t>.</w:t>
      </w:r>
      <w:r>
        <w:rPr>
          <w:rFonts w:hint="eastAsia" w:ascii="宋体" w:hAnsi="宋体"/>
          <w:sz w:val="24"/>
        </w:rPr>
        <w:t>领用物资时，选择使用管理页面中的领用管理，点击领用申请。</w:t>
      </w:r>
    </w:p>
    <w:p>
      <w:r>
        <w:pict>
          <v:shape id="_x0000_i1035" o:spt="75" type="#_x0000_t75" style="height:177.75pt;width:40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spacing w:line="560" w:lineRule="exact"/>
        <w:ind w:firstLine="480" w:firstLineChars="200"/>
        <w:rPr>
          <w:rFonts w:ascii="宋体"/>
          <w:sz w:val="24"/>
        </w:rPr>
      </w:pPr>
      <w:r>
        <w:rPr>
          <w:rFonts w:ascii="宋体" w:hAnsi="宋体"/>
          <w:sz w:val="24"/>
        </w:rPr>
        <w:t>9</w:t>
      </w:r>
      <w:r>
        <w:rPr>
          <w:rFonts w:ascii="宋体"/>
          <w:sz w:val="24"/>
        </w:rPr>
        <w:t>.</w:t>
      </w:r>
      <w:r>
        <w:rPr>
          <w:rFonts w:hint="eastAsia" w:ascii="宋体" w:hAnsi="宋体"/>
          <w:sz w:val="24"/>
        </w:rPr>
        <w:t>填写基础信息和危化品信息后，提交审批。</w:t>
      </w:r>
    </w:p>
    <w:p>
      <w:r>
        <w:pict>
          <v:shape id="_x0000_i1036" o:spt="75" type="#_x0000_t75" style="height:183.75pt;width:405.7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spacing w:line="560" w:lineRule="exact"/>
        <w:ind w:firstLine="480" w:firstLineChars="200"/>
        <w:rPr>
          <w:rFonts w:ascii="宋体"/>
          <w:sz w:val="24"/>
        </w:rPr>
      </w:pPr>
      <w:r>
        <w:rPr>
          <w:rFonts w:ascii="宋体" w:hAnsi="宋体"/>
          <w:sz w:val="24"/>
        </w:rPr>
        <w:t>1</w:t>
      </w:r>
      <w:r>
        <w:rPr>
          <w:rFonts w:ascii="宋体"/>
          <w:sz w:val="24"/>
        </w:rPr>
        <w:t>0.</w:t>
      </w:r>
      <w:r>
        <w:rPr>
          <w:rFonts w:hint="eastAsia" w:ascii="宋体" w:hAnsi="宋体"/>
          <w:sz w:val="24"/>
        </w:rPr>
        <w:t>领用审批完成后，在领用出库页面，对药品出库。</w:t>
      </w:r>
    </w:p>
    <w:p>
      <w:r>
        <w:pict>
          <v:shape id="_x0000_i1037" o:spt="75" type="#_x0000_t75" style="height:176.25pt;width:405.7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spacing w:line="560" w:lineRule="exact"/>
        <w:ind w:firstLine="480" w:firstLineChars="200"/>
        <w:rPr>
          <w:rFonts w:ascii="宋体"/>
          <w:sz w:val="24"/>
        </w:rPr>
      </w:pPr>
    </w:p>
    <w:p>
      <w:pPr>
        <w:spacing w:line="560" w:lineRule="exact"/>
        <w:ind w:firstLine="480" w:firstLineChars="200"/>
        <w:rPr>
          <w:rFonts w:ascii="宋体"/>
          <w:sz w:val="24"/>
        </w:rPr>
      </w:pPr>
      <w:r>
        <w:rPr>
          <w:rFonts w:ascii="宋体" w:hAnsi="宋体"/>
          <w:sz w:val="24"/>
        </w:rPr>
        <w:t>11.</w:t>
      </w:r>
      <w:r>
        <w:rPr>
          <w:rFonts w:hint="eastAsia" w:ascii="宋体" w:hAnsi="宋体"/>
          <w:sz w:val="24"/>
        </w:rPr>
        <w:t>实验过程产生的废弃物，在本系统中按类别进行登记，审批通过后，才可转移至废弃物暂存柜。</w:t>
      </w:r>
    </w:p>
    <w:p>
      <w:r>
        <w:pict>
          <v:shape id="_x0000_i1038" o:spt="75" type="#_x0000_t75" style="height:162.75pt;width:415.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252D7E"/>
    <w:multiLevelType w:val="singleLevel"/>
    <w:tmpl w:val="8E252D7E"/>
    <w:lvl w:ilvl="0" w:tentative="0">
      <w:start w:val="4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4843"/>
    <w:rsid w:val="0002250B"/>
    <w:rsid w:val="00146E8B"/>
    <w:rsid w:val="00164843"/>
    <w:rsid w:val="001C3E29"/>
    <w:rsid w:val="001E088D"/>
    <w:rsid w:val="00333C1B"/>
    <w:rsid w:val="00344500"/>
    <w:rsid w:val="0036663D"/>
    <w:rsid w:val="0042720B"/>
    <w:rsid w:val="00427275"/>
    <w:rsid w:val="004B6ECA"/>
    <w:rsid w:val="00567277"/>
    <w:rsid w:val="005B6869"/>
    <w:rsid w:val="0070349A"/>
    <w:rsid w:val="007D242C"/>
    <w:rsid w:val="00A00268"/>
    <w:rsid w:val="00DC26B0"/>
    <w:rsid w:val="00DD5F0F"/>
    <w:rsid w:val="00DE3CED"/>
    <w:rsid w:val="00F85756"/>
    <w:rsid w:val="05D821FC"/>
    <w:rsid w:val="0C073F81"/>
    <w:rsid w:val="1F3E6B4C"/>
    <w:rsid w:val="32454C84"/>
    <w:rsid w:val="3E77249F"/>
    <w:rsid w:val="471310DA"/>
    <w:rsid w:val="546C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nhideWhenUsed="0" w:uiPriority="0" w:semiHidden="0" w:name="Table Simple 1" w:locked="1"/>
    <w:lsdException w:unhideWhenUsed="0" w:uiPriority="0" w:semiHidden="0" w:name="Table Simple 2" w:locked="1"/>
    <w:lsdException w:unhideWhenUsed="0" w:uiPriority="0" w:semiHidden="0" w:name="Table Simple 3" w:locked="1"/>
    <w:lsdException w:unhideWhenUsed="0" w:uiPriority="0" w:semiHidden="0" w:name="Table Classic 1" w:locked="1"/>
    <w:lsdException w:unhideWhenUsed="0" w:uiPriority="0" w:semiHidden="0" w:name="Table Classic 2" w:locked="1"/>
    <w:lsdException w:unhideWhenUsed="0" w:uiPriority="0" w:semiHidden="0" w:name="Table Classic 3" w:locked="1"/>
    <w:lsdException w:unhideWhenUsed="0" w:uiPriority="0" w:semiHidden="0" w:name="Table Classic 4" w:locked="1"/>
    <w:lsdException w:unhideWhenUsed="0" w:uiPriority="0" w:semiHidden="0" w:name="Table Colorful 1" w:locked="1"/>
    <w:lsdException w:unhideWhenUsed="0" w:uiPriority="0" w:semiHidden="0" w:name="Table Colorful 2" w:locked="1"/>
    <w:lsdException w:unhideWhenUsed="0" w:uiPriority="0" w:semiHidden="0" w:name="Table Colorful 3" w:locked="1"/>
    <w:lsdException w:unhideWhenUsed="0" w:uiPriority="0" w:semiHidden="0" w:name="Table Columns 1" w:locked="1"/>
    <w:lsdException w:unhideWhenUsed="0" w:uiPriority="0" w:semiHidden="0" w:name="Table Columns 2" w:locked="1"/>
    <w:lsdException w:unhideWhenUsed="0" w:uiPriority="0" w:semiHidden="0" w:name="Table Columns 3" w:locked="1"/>
    <w:lsdException w:unhideWhenUsed="0" w:uiPriority="0" w:semiHidden="0" w:name="Table Columns 4" w:locked="1"/>
    <w:lsdException w:unhideWhenUsed="0" w:uiPriority="0" w:semiHidden="0" w:name="Table Columns 5" w:locked="1"/>
    <w:lsdException w:unhideWhenUsed="0" w:uiPriority="0" w:semiHidden="0" w:name="Table Grid 1" w:locked="1"/>
    <w:lsdException w:unhideWhenUsed="0" w:uiPriority="0" w:semiHidden="0" w:name="Table Grid 2" w:locked="1"/>
    <w:lsdException w:unhideWhenUsed="0" w:uiPriority="0" w:semiHidden="0" w:name="Table Grid 3" w:locked="1"/>
    <w:lsdException w:unhideWhenUsed="0" w:uiPriority="0" w:semiHidden="0" w:name="Table Grid 4" w:locked="1"/>
    <w:lsdException w:unhideWhenUsed="0" w:uiPriority="0" w:semiHidden="0" w:name="Table Grid 5" w:locked="1"/>
    <w:lsdException w:unhideWhenUsed="0" w:uiPriority="0" w:semiHidden="0" w:name="Table Grid 6" w:locked="1"/>
    <w:lsdException w:unhideWhenUsed="0" w:uiPriority="0" w:semiHidden="0" w:name="Table Grid 7" w:locked="1"/>
    <w:lsdException w:unhideWhenUsed="0" w:uiPriority="0" w:semiHidden="0" w:name="Table Grid 8" w:locked="1"/>
    <w:lsdException w:unhideWhenUsed="0" w:uiPriority="0" w:semiHidden="0" w:name="Table List 1" w:locked="1"/>
    <w:lsdException w:unhideWhenUsed="0" w:uiPriority="0" w:semiHidden="0" w:name="Table List 2" w:locked="1"/>
    <w:lsdException w:unhideWhenUsed="0" w:uiPriority="0" w:semiHidden="0" w:name="Table List 3" w:locked="1"/>
    <w:lsdException w:unhideWhenUsed="0" w:uiPriority="0" w:semiHidden="0" w:name="Table List 4" w:locked="1"/>
    <w:lsdException w:unhideWhenUsed="0" w:uiPriority="0" w:semiHidden="0" w:name="Table List 5" w:locked="1"/>
    <w:lsdException w:unhideWhenUsed="0" w:uiPriority="0" w:semiHidden="0" w:name="Table List 6" w:locked="1"/>
    <w:lsdException w:unhideWhenUsed="0" w:uiPriority="0" w:semiHidden="0" w:name="Table List 7" w:locked="1"/>
    <w:lsdException w:unhideWhenUsed="0" w:uiPriority="0" w:semiHidden="0" w:name="Table List 8" w:locked="1"/>
    <w:lsdException w:unhideWhenUsed="0" w:uiPriority="0" w:semiHidden="0" w:name="Table 3D effects 1" w:locked="1"/>
    <w:lsdException w:unhideWhenUsed="0" w:uiPriority="0" w:semiHidden="0" w:name="Table 3D effects 2" w:locked="1"/>
    <w:lsdException w:unhideWhenUsed="0" w:uiPriority="0" w:semiHidden="0" w:name="Table 3D effects 3" w:locked="1"/>
    <w:lsdException w:unhideWhenUsed="0" w:uiPriority="0" w:semiHidden="0" w:name="Table Contemporary" w:locked="1"/>
    <w:lsdException w:unhideWhenUsed="0" w:uiPriority="0" w:semiHidden="0" w:name="Table Elegant" w:locked="1"/>
    <w:lsdException w:unhideWhenUsed="0" w:uiPriority="0" w:semiHidden="0" w:name="Table Professional" w:locked="1"/>
    <w:lsdException w:unhideWhenUsed="0" w:uiPriority="0" w:semiHidden="0" w:name="Table Subtle 1" w:locked="1"/>
    <w:lsdException w:unhideWhenUsed="0" w:uiPriority="0" w:semiHidden="0" w:name="Table Subtle 2" w:locked="1"/>
    <w:lsdException w:unhideWhenUsed="0" w:uiPriority="0" w:semiHidden="0" w:name="Table Web 1" w:locked="1"/>
    <w:lsdException w:unhideWhenUsed="0" w:uiPriority="0" w:semiHidden="0" w:name="Table Web 2" w:locked="1"/>
    <w:lsdException w:unhideWhenUsed="0" w:uiPriority="0" w:semiHidden="0" w:name="Table Web 3" w:locked="1"/>
    <w:lsdException w:uiPriority="99" w:name="Balloon Text"/>
    <w:lsdException w:unhideWhenUsed="0" w:uiPriority="59" w:semiHidden="0" w:name="Table Grid"/>
    <w:lsdException w:unhideWhenUsed="0" w:uiPriority="0" w:semiHidden="0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99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4"/>
    <w:qFormat/>
    <w:uiPriority w:val="99"/>
    <w:rPr>
      <w:rFonts w:cs="Times New Roman"/>
      <w:color w:val="954F72"/>
      <w:u w:val="single"/>
    </w:rPr>
  </w:style>
  <w:style w:type="character" w:styleId="6">
    <w:name w:val="Hyperlink"/>
    <w:basedOn w:val="4"/>
    <w:qFormat/>
    <w:uiPriority w:val="99"/>
    <w:rPr>
      <w:rFonts w:cs="Times New Roman"/>
      <w:color w:val="0000FF"/>
      <w:u w:val="single"/>
    </w:rPr>
  </w:style>
  <w:style w:type="character" w:customStyle="1" w:styleId="7">
    <w:name w:val="Heading 1 Char"/>
    <w:basedOn w:val="4"/>
    <w:link w:val="2"/>
    <w:qFormat/>
    <w:uiPriority w:val="9"/>
    <w:rPr>
      <w:rFonts w:ascii="Calibri" w:hAnsi="Calibri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 Inc.</Company>
  <Pages>6</Pages>
  <Words>100</Words>
  <Characters>570</Characters>
  <Lines>0</Lines>
  <Paragraphs>0</Paragraphs>
  <TotalTime>11</TotalTime>
  <ScaleCrop>false</ScaleCrop>
  <LinksUpToDate>false</LinksUpToDate>
  <CharactersWithSpaces>0</CharactersWithSpaces>
  <Application>WPS Office_11.1.0.10446_F1E327BC-269C-435d-A152-05C5408002CA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2019-11-21T02:46:00Z</dcterms:created>
  <dc:creator>zyn</dc:creator>
  <cp:lastModifiedBy>李茜</cp:lastModifiedBy>
  <dcterms:modified xsi:type="dcterms:W3CDTF">2021-04-14T03:01:36Z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2052-11.1.0.10446</vt:lpwstr>
  </property>
  <property fmtid="{D5CDD505-2E9C-101B-9397-08002B2CF9AE}" pid="3" name="ICV">
    <vt:lpwstr>058FF5436E034CD68677D4F2338FE844</vt:lpwstr>
  </property>
</Properties>
</file>