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Autospacing="0" w:afterAutospacing="0" w:line="600" w:lineRule="exact"/>
        <w:ind w:left="0" w:right="0"/>
        <w:jc w:val="center"/>
        <w:textAlignment w:val="auto"/>
        <w:rPr>
          <w:rFonts w:hint="default"/>
          <w:color w:val="auto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color w:val="auto"/>
          <w:kern w:val="0"/>
          <w:sz w:val="36"/>
          <w:szCs w:val="36"/>
          <w:lang w:val="en-US" w:eastAsia="zh-CN" w:bidi="ar"/>
        </w:rPr>
        <w:t>附件4：重点选题方向</w:t>
      </w:r>
    </w:p>
    <w:p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1.人工智能在城乡规划与智慧城市中的应用研究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2.智能建造与建筑机器人关键技术开发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3.数字孪生技术在建筑全生命周期管理中的应用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4.低空经济与无人机在建筑巡检及物流配送中的创新应用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5.基于AI的建筑能耗优化与绿色低碳技术研究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6.数字经济驱动下的建筑产业转型升级路径探索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7.智能成像与无损检测技术在建筑安全评估中的应用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8.元宇宙与虚拟现实技术在建筑设计与展示中的创新应用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9.人工智能驱动的城市交通与基础设施优化研究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10.智慧养老与适老化建筑智能化改造方案研究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11.智能育幼设施与儿童友好型社区空间设计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12.建筑废弃物智能分类与资源化利用技术研究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13.低空经济与城市立体交通网络构建探索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14.人工智能在建筑灾害预警与应急管理中的应用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15.数字技术赋能传统建筑文化保护与传承研究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GU0YmI2NGM3MTM5M2FkZTg2ZDMxYzdlODAxZWMifQ=="/>
  </w:docVars>
  <w:rsids>
    <w:rsidRoot w:val="00000000"/>
    <w:rsid w:val="159E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2025-05-06T07:44:21Z</dcterms:created>
  <dc:creator>ericcaihong</dc:creator>
  <cp:lastModifiedBy>ericcaihong</cp:lastModifiedBy>
  <dcterms:modified xsi:type="dcterms:W3CDTF">2025-05-06T09:06:01Z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3266815AB7E94A79B6C03FE0C02762B6_12</vt:lpwstr>
  </property>
</Properties>
</file>