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各潜在供应商：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我院拟于2026年采购一批VR实验设备，现面向你单位征询相关意见，请根据工作实际填写相关情况并提出反馈意见（反馈意见可以批注形式反馈），最迟请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于2026年10月23日之前反馈至邮箱500192cyhh@ahjz.edu.cn  ，谢谢！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</w:p>
    <w:p>
      <w:pPr>
        <w:pStyle w:val="3"/>
        <w:pageBreakBefore w:val="0"/>
        <w:kinsoku/>
        <w:overflowPunct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pStyle w:val="3"/>
        <w:pageBreakBefore w:val="0"/>
        <w:kinsoku/>
        <w:overflowPunct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pStyle w:val="3"/>
        <w:pageBreakBefore w:val="0"/>
        <w:kinsoku/>
        <w:overflowPunct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pStyle w:val="3"/>
        <w:pageBreakBefore w:val="0"/>
        <w:kinsoku/>
        <w:overflowPunct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安徽建筑大学设计创意学院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2026年10月13日</w:t>
      </w:r>
    </w:p>
    <w:p/>
    <w:p/>
    <w:p/>
    <w:p/>
    <w:p/>
    <w:p/>
    <w:p/>
    <w:p/>
    <w:p/>
    <w:p/>
    <w:p/>
    <w:p/>
    <w:p/>
    <w:p/>
    <w:p/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调研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单位名称（公章）：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联系人及联系方式：</w:t>
      </w:r>
    </w:p>
    <w:p>
      <w:pPr>
        <w:pStyle w:val="2"/>
        <w:pageBreakBefore w:val="0"/>
        <w:kinsoku/>
        <w:overflowPunct/>
        <w:topLinePunct w:val="0"/>
        <w:bidi w:val="0"/>
        <w:adjustRightInd w:val="0"/>
        <w:snapToGrid w:val="0"/>
        <w:spacing w:before="0" w:beforeLines="0" w:after="0" w:afterLines="0" w:line="5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pageBreakBefore w:val="0"/>
        <w:widowControl/>
        <w:tabs>
          <w:tab w:val="left" w:pos="1406"/>
        </w:tabs>
        <w:kinsoku/>
        <w:overflowPunct/>
        <w:topLinePunct w:val="0"/>
        <w:bidi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安徽建筑大学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设计创意学院2026年度VR实验设备采购项目</w:t>
      </w:r>
      <w:r>
        <w:rPr>
          <w:rFonts w:hint="eastAsia" w:ascii="仿宋" w:hAnsi="仿宋" w:eastAsia="仿宋" w:cs="仿宋"/>
          <w:sz w:val="28"/>
          <w:szCs w:val="28"/>
        </w:rPr>
        <w:t>拟购置VR教学实验设备12套（含配套专业教学演示资源、课程实训素材），专项用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学院各个专业</w:t>
      </w:r>
      <w:r>
        <w:rPr>
          <w:rFonts w:hint="eastAsia" w:ascii="仿宋" w:hAnsi="仿宋" w:eastAsia="仿宋" w:cs="仿宋"/>
          <w:sz w:val="28"/>
          <w:szCs w:val="28"/>
        </w:rPr>
        <w:t>的沉浸式教学与分组实训。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具体采购需求如下,请按以下要求填写参考价格：</w:t>
      </w:r>
    </w:p>
    <w:p>
      <w:pPr>
        <w:pageBreakBefore w:val="0"/>
        <w:widowControl/>
        <w:tabs>
          <w:tab w:val="left" w:pos="1406"/>
        </w:tabs>
        <w:kinsoku/>
        <w:overflowPunct/>
        <w:topLinePunct w:val="0"/>
        <w:bidi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tbl>
      <w:tblPr>
        <w:tblStyle w:val="4"/>
        <w:tblW w:w="93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9"/>
        <w:gridCol w:w="567"/>
        <w:gridCol w:w="1101"/>
        <w:gridCol w:w="2850"/>
        <w:gridCol w:w="2619"/>
        <w:gridCol w:w="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0"/>
                <w:lang w:val="en-US" w:eastAsia="zh-CN" w:bidi="ar"/>
              </w:rPr>
              <w:t>项目名称</w:t>
            </w:r>
          </w:p>
        </w:tc>
        <w:tc>
          <w:tcPr>
            <w:tcW w:w="76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b/>
                <w:bCs w:val="0"/>
                <w:sz w:val="24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设计创意学院2026年度VR实验设备采购项目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0"/>
                <w:lang w:val="en-US" w:eastAsia="zh-CN" w:bidi="ar"/>
              </w:rPr>
              <w:t>项目预算</w:t>
            </w:r>
          </w:p>
        </w:tc>
        <w:tc>
          <w:tcPr>
            <w:tcW w:w="76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u w:val="single"/>
                <w:lang w:val="en-US" w:eastAsia="zh-CN" w:bidi="ar"/>
              </w:rPr>
              <w:t xml:space="preserve"> 9.5 </w:t>
            </w: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0"/>
                <w:lang w:val="en-US" w:eastAsia="zh-CN" w:bidi="ar"/>
              </w:rPr>
              <w:t>采购标的需实现的功能或者目标</w:t>
            </w:r>
          </w:p>
        </w:tc>
        <w:tc>
          <w:tcPr>
            <w:tcW w:w="76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100" w:beforeAutospacing="1" w:after="100" w:afterAutospacing="1"/>
              <w:ind w:left="720" w:hanging="36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Style w:val="7"/>
                <w:rFonts w:hint="eastAsia" w:ascii="仿宋" w:hAnsi="仿宋" w:eastAsia="仿宋" w:cs="仿宋"/>
                <w:sz w:val="24"/>
                <w:szCs w:val="24"/>
              </w:rPr>
              <w:t>实训功能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：支撑交互设计、沉浸式空间展示、虚拟场景创作等核心课程，实现大空间场景演示、虚拟交互实操、三维效果实时展示等关键实训环节落地；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100" w:beforeAutospacing="1" w:after="100" w:afterAutospacing="1"/>
              <w:ind w:left="720" w:hanging="36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Style w:val="7"/>
                <w:rFonts w:hint="eastAsia" w:ascii="仿宋" w:hAnsi="仿宋" w:eastAsia="仿宋" w:cs="仿宋"/>
                <w:sz w:val="24"/>
                <w:szCs w:val="24"/>
              </w:rPr>
              <w:t>教学承载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：满足专业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生的分组协同实训与日常教学需求；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100" w:beforeAutospacing="1" w:after="100" w:afterAutospacing="1"/>
              <w:ind w:left="720" w:hanging="36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Style w:val="7"/>
                <w:rFonts w:hint="eastAsia" w:ascii="仿宋" w:hAnsi="仿宋" w:eastAsia="仿宋" w:cs="仿宋"/>
                <w:sz w:val="24"/>
                <w:szCs w:val="24"/>
              </w:rPr>
              <w:t>建设目标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：填补我院沉浸式交互教学空白，推动教学模式从“图文视频理论讲授”向“沉浸式实操”升级，切实提升人才培养质量与学生创新实践能力。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Cs w:val="21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7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0"/>
                <w:lang w:val="en-US" w:eastAsia="zh-CN" w:bidi="ar"/>
              </w:rPr>
              <w:t>项目是否分包及分包预算</w:t>
            </w:r>
          </w:p>
        </w:tc>
        <w:tc>
          <w:tcPr>
            <w:tcW w:w="76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"/>
              </w:rPr>
              <w:t>□是 ，共分为  个包，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"/>
              </w:rPr>
              <w:t>第1包：，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"/>
              </w:rPr>
              <w:t>第2包：，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7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0"/>
                <w:lang w:val="en-US" w:eastAsia="zh-CN" w:bidi="ar"/>
              </w:rPr>
            </w:pPr>
          </w:p>
        </w:tc>
        <w:tc>
          <w:tcPr>
            <w:tcW w:w="76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"/>
              </w:rPr>
              <w:t xml:space="preserve"> ☑否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主要技术要求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性能、材料、结构、外观、质量、安全、技术规格、物理特性等要求</w:t>
            </w: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）</w:t>
            </w:r>
          </w:p>
        </w:tc>
        <w:tc>
          <w:tcPr>
            <w:tcW w:w="76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1869"/>
              </w:tabs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包别名称：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0"/>
                <w:lang w:val="en-US" w:eastAsia="zh-CN" w:bidi="ar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名 称</w:t>
            </w:r>
          </w:p>
        </w:tc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技术要求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参考图片</w:t>
            </w:r>
          </w:p>
        </w:tc>
        <w:tc>
          <w:tcPr>
            <w:tcW w:w="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39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智能交互眼镜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VR眼镜VR一体机智能眼镜</w:t>
            </w:r>
          </w:p>
        </w:tc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★一、光学与显示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1.光学透镜：Pancake折叠光路；2.单眼分辨率≥2160×2160，双眼合计≥4320×2160；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3.刷新率≥90Hz；4.视场角≥105°。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★二、处理器及存储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1.主控芯片性能不低于高通骁龙XR2平台；2.运行内存≥8GB；3.机身存储≥128GB。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★三、无线连接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1.支持WiFi 6或更高协议（2.4G+5G双频），可降低无线串流延时；2.蓝牙≥5.0。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★四、混合现实传感器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1.支持全彩视频透视（VST），配置≥1颗RGB透视摄像头。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★五、定位与交互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1.inside-out 6DoF头显+手柄定位，房间级追踪；2.支持手势识别。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★六、瞳距调节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支持58–72mm瞳距调节。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★七、接口与配件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1.接口：USB-C；2.每台配6DoF手柄≥1对；3.含面部泡棉+专属便携包。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★八、电池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额定容量≥5000mAh。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★九、本地化服务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设备可在国内网络环境激活及固件更新，提供中文界面。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—十、非关键优选参数（不否决，投标时如实填报）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1.芯片为高通骁龙XR2 Gen 2或同代性能平台；2.运行内存12GB及以上；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3.机身存储256GB及以上；4.双目RGB全彩透视，单颗像素≥3200万；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5.支持WiFi 7（802.11be）；6.配置iToF或等效深度感知摄像头；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7.支持无级电动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十一、配件：包含泡棉+专属便携包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 w:firstLine="342" w:firstLineChars="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3175</wp:posOffset>
                  </wp:positionV>
                  <wp:extent cx="1688465" cy="862965"/>
                  <wp:effectExtent l="0" t="0" r="6985" b="13335"/>
                  <wp:wrapSquare wrapText="bothSides"/>
                  <wp:docPr id="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8465" cy="862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"/>
              </w:rPr>
              <w:t>10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智能交互眼镜VR眼镜VR一体机智能眼镜</w:t>
            </w:r>
          </w:p>
        </w:tc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★一、光学与显示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1.光学透镜：Pancake折叠光路；2.单眼分辨率≥2160×2160，双眼合计≥4320×2160；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3.刷新率≥90Hz；4.视场角≥105°。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★二、处理器及存储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1.主控芯片性能不低于高通骁龙XR2平台；2.运行内存≥16GB；3.机身存储≥256GB。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★三、无线连接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1.1.2.4 GHz 私有协议；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2.蓝牙≥5.0。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★四、混合现实传感器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1.支持全彩视频透视（VST），配置≥1颗RGB透视摄像头。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★五、定位与交互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1.inside-out 6DoF头显+手柄定位，房间级追踪；2.支持手势识别。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★六、瞳距调节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支持58–72mm瞳距调节。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★七、接口与配件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1.接口：USB-C；2.每台配6DoF手柄≥1对；3.含PU面垫+专属便携包。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★八、电池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额定容量≥5000mAh。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★九、本地化服务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设备可在国内网络环境激活及固件更新，提供中文界面。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★十、管理功能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支持设备批量激活、应用静默分发、使用统计等企业级管控。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—十一、非关键优选参数（不否决，投标时如实填报）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1.芯片为高通骁龙XR2 Gen 2或同代性能平台；2.配置iToF深度感知摄像头；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3.双目RGB全彩透视，单颗像素≥3200万；4.支持无级电动瞳距调节。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十二、配件：PU面垫+专属便携包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-1713865</wp:posOffset>
                  </wp:positionH>
                  <wp:positionV relativeFrom="paragraph">
                    <wp:posOffset>-1950085</wp:posOffset>
                  </wp:positionV>
                  <wp:extent cx="1660525" cy="870585"/>
                  <wp:effectExtent l="0" t="0" r="15875" b="5715"/>
                  <wp:wrapSquare wrapText="bothSides"/>
                  <wp:docPr id="7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525" cy="870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3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追踪器</w:t>
            </w:r>
          </w:p>
        </w:tc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★一、连接方式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1.无线连接，与VR头显低延迟配对（延迟≤20ms）；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二、工作模式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1.全身动捕；2.独立追踪（支持单个体感追踪器搭配外设使用）。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★三、定位及追踪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1.加速度计；2.陀螺仪；3.地磁传感器；4.主动式红外传感器。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★四、电池及续航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1.额定容量≥220mAh，USB-C充电口；2.连续使用续航时间≥25小时。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★五、兼容性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兼容主流VR一体机6DoF定位系统。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★六、配置数量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本标的一共10套，每套满足（双脚、腰部等）动捕需求。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339725</wp:posOffset>
                  </wp:positionV>
                  <wp:extent cx="1581150" cy="988695"/>
                  <wp:effectExtent l="0" t="0" r="0" b="1905"/>
                  <wp:wrapSquare wrapText="bothSides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988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3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0"/>
                <w:lang w:val="en-US" w:eastAsia="zh-CN" w:bidi="ar"/>
              </w:rPr>
              <w:t>执行的相关标准</w:t>
            </w:r>
          </w:p>
        </w:tc>
        <w:tc>
          <w:tcPr>
            <w:tcW w:w="76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相关国标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39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商务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要求</w:t>
            </w: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供货及安装期限</w:t>
            </w:r>
          </w:p>
        </w:tc>
        <w:tc>
          <w:tcPr>
            <w:tcW w:w="59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中标后15天内完成供货及安装。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供货及安装地点</w:t>
            </w:r>
          </w:p>
        </w:tc>
        <w:tc>
          <w:tcPr>
            <w:tcW w:w="59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安徽建筑大学设计创意学院，紫云路校区地址：合肥市蜀山区紫云路292号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377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"/>
              </w:rPr>
              <w:t>付款条件（进度和方式）</w:t>
            </w:r>
          </w:p>
        </w:tc>
        <w:tc>
          <w:tcPr>
            <w:tcW w:w="59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" w:hAnsi="仿宋" w:eastAsia="仿宋" w:cs="仿宋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供货及安装完成后90天内</w:t>
            </w:r>
            <w:r>
              <w:rPr>
                <w:rFonts w:hint="eastAsia" w:ascii="仿宋" w:hAnsi="仿宋" w:eastAsia="仿宋" w:cs="仿宋"/>
                <w:b w:val="0"/>
                <w:kern w:val="2"/>
                <w:sz w:val="21"/>
                <w:szCs w:val="21"/>
                <w:lang w:val="en-US" w:eastAsia="zh-CN" w:bidi="ar"/>
              </w:rPr>
              <w:t>付款。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"/>
              </w:rPr>
              <w:t>包装和运输</w:t>
            </w:r>
          </w:p>
        </w:tc>
        <w:tc>
          <w:tcPr>
            <w:tcW w:w="59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送货上门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"/>
              </w:rPr>
              <w:t>售后服务、</w:t>
            </w: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免费质保期</w:t>
            </w:r>
          </w:p>
        </w:tc>
        <w:tc>
          <w:tcPr>
            <w:tcW w:w="59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widowControl/>
              <w:rPr>
                <w:rFonts w:hint="eastAsia" w:ascii="仿宋" w:hAnsi="仿宋" w:eastAsia="仿宋" w:cs="仿宋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免费质保期≥2年（含电池），自验收合格之日起计算。质保期内非人为损坏免费维修；提供≥2年的国内有效售后保修服务，质保期内提供备用机或48小时响应服务。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"/>
              </w:rPr>
              <w:t>保险</w:t>
            </w:r>
          </w:p>
        </w:tc>
        <w:tc>
          <w:tcPr>
            <w:tcW w:w="59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"/>
              </w:rPr>
              <w:t>其他</w:t>
            </w:r>
          </w:p>
        </w:tc>
        <w:tc>
          <w:tcPr>
            <w:tcW w:w="59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" w:hAnsi="仿宋" w:eastAsia="仿宋" w:cs="仿宋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4B928F"/>
    <w:multiLevelType w:val="multilevel"/>
    <w:tmpl w:val="AF4B928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0MGU1OTI1YWI1OWMyOTljNGU5YjA3NzQ4MTM5N2IifQ=="/>
  </w:docVars>
  <w:rsids>
    <w:rsidRoot w:val="0BC54147"/>
    <w:rsid w:val="0BC54147"/>
    <w:rsid w:val="0F193257"/>
    <w:rsid w:val="246452AC"/>
    <w:rsid w:val="24B22BD7"/>
    <w:rsid w:val="405B4822"/>
    <w:rsid w:val="47ED5839"/>
    <w:rsid w:val="5B6D158C"/>
    <w:rsid w:val="61D808AF"/>
    <w:rsid w:val="7D1E5E74"/>
    <w:rsid w:val="7E891280"/>
    <w:rsid w:val="7F044D9B"/>
    <w:rsid w:val="7F7A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Char Char Char Char Char Char Char1 Char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ahoma" w:hAnsi="Tahoma" w:eastAsia="宋体" w:cs="Times New Roman"/>
      <w:kern w:val="2"/>
      <w:sz w:val="24"/>
      <w:szCs w:val="2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1776</Words>
  <Characters>2100</Characters>
  <Lines>0</Lines>
  <Paragraphs>0</Paragraphs>
  <TotalTime>36</TotalTime>
  <ScaleCrop>false</ScaleCrop>
  <LinksUpToDate>false</LinksUpToDate>
  <CharactersWithSpaces>2149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2026-10-13T06:28:00Z</dcterms:created>
  <dc:creator>程玉环环</dc:creator>
  <cp:lastModifiedBy>gina</cp:lastModifiedBy>
  <dcterms:modified xsi:type="dcterms:W3CDTF">2026-10-20T07:40:32Z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9B81A7DE21FA457A90E767E7F32D0F97_13</vt:lpwstr>
  </property>
  <property fmtid="{D5CDD505-2E9C-101B-9397-08002B2CF9AE}" pid="4" name="KSOTemplateDocerSaveRecord">
    <vt:lpwstr>eyJoZGlkIjoiZjc0MDk4NTcyNWQ5YWIxMmRhMWRjOTI2MDNkMWIxNmUiLCJ1c2VySWQiOiIzNDkzMjU4NzkifQ==</vt:lpwstr>
  </property>
</Properties>
</file>