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73E3B">
      <w:pPr>
        <w:spacing w:line="360" w:lineRule="auto"/>
        <w:rPr>
          <w:lang w:val="zh-CN"/>
        </w:rPr>
      </w:pPr>
    </w:p>
    <w:p w14:paraId="499973B9">
      <w:pPr>
        <w:pStyle w:val="19"/>
        <w:spacing w:before="0" w:line="360" w:lineRule="auto"/>
        <w:jc w:val="center"/>
        <w:rPr>
          <w:rFonts w:ascii="方正小标宋简体" w:eastAsia="方正小标宋简体"/>
          <w:color w:val="000000"/>
          <w:sz w:val="52"/>
          <w:szCs w:val="52"/>
          <w:lang w:val="zh-CN"/>
        </w:rPr>
      </w:pPr>
      <w:bookmarkStart w:id="0" w:name="_Toc617"/>
      <w:bookmarkStart w:id="1" w:name="_Toc22456"/>
      <w:bookmarkStart w:id="2" w:name="_Toc22634"/>
      <w:r>
        <w:rPr>
          <w:rFonts w:hint="eastAsia" w:ascii="方正小标宋简体" w:eastAsia="方正小标宋简体"/>
          <w:color w:val="000000"/>
          <w:sz w:val="52"/>
          <w:szCs w:val="52"/>
          <w:lang w:val="zh-CN"/>
        </w:rPr>
        <w:t>202</w:t>
      </w:r>
      <w:r>
        <w:rPr>
          <w:rFonts w:hint="eastAsia" w:ascii="方正小标宋简体" w:eastAsia="方正小标宋简体"/>
          <w:color w:val="000000"/>
          <w:sz w:val="52"/>
          <w:szCs w:val="52"/>
          <w:lang w:val="en-US" w:eastAsia="zh-CN"/>
        </w:rPr>
        <w:t>4</w:t>
      </w:r>
      <w:r>
        <w:rPr>
          <w:rFonts w:hint="eastAsia" w:ascii="方正小标宋简体" w:eastAsia="方正小标宋简体"/>
          <w:color w:val="000000"/>
          <w:sz w:val="52"/>
          <w:szCs w:val="52"/>
          <w:lang w:val="zh-CN"/>
        </w:rPr>
        <w:t>年度校级质量工程项目</w:t>
      </w:r>
      <w:bookmarkEnd w:id="0"/>
      <w:bookmarkEnd w:id="1"/>
      <w:bookmarkEnd w:id="2"/>
    </w:p>
    <w:p w14:paraId="1F3A21E0">
      <w:pPr>
        <w:spacing w:line="360" w:lineRule="auto"/>
        <w:jc w:val="center"/>
        <w:rPr>
          <w:b/>
          <w:sz w:val="84"/>
          <w:szCs w:val="84"/>
          <w:lang w:val="zh-CN"/>
        </w:rPr>
      </w:pPr>
    </w:p>
    <w:p w14:paraId="2FAC8BCA">
      <w:pPr>
        <w:spacing w:line="360" w:lineRule="auto"/>
        <w:jc w:val="center"/>
        <w:rPr>
          <w:b/>
          <w:sz w:val="84"/>
          <w:szCs w:val="84"/>
          <w:lang w:val="zh-CN"/>
        </w:rPr>
      </w:pPr>
      <w:r>
        <w:rPr>
          <w:rFonts w:hint="eastAsia"/>
          <w:b/>
          <w:sz w:val="84"/>
          <w:szCs w:val="84"/>
          <w:lang w:val="zh-CN"/>
        </w:rPr>
        <w:t>申</w:t>
      </w:r>
    </w:p>
    <w:p w14:paraId="008D754A">
      <w:pPr>
        <w:spacing w:line="360" w:lineRule="auto"/>
        <w:jc w:val="center"/>
        <w:rPr>
          <w:b/>
          <w:sz w:val="84"/>
          <w:szCs w:val="84"/>
          <w:lang w:val="zh-CN"/>
        </w:rPr>
      </w:pPr>
      <w:r>
        <w:rPr>
          <w:rFonts w:hint="eastAsia"/>
          <w:b/>
          <w:sz w:val="84"/>
          <w:szCs w:val="84"/>
          <w:lang w:val="zh-CN"/>
        </w:rPr>
        <w:t>报</w:t>
      </w:r>
    </w:p>
    <w:p w14:paraId="7064A868">
      <w:pPr>
        <w:spacing w:line="360" w:lineRule="auto"/>
        <w:jc w:val="center"/>
        <w:rPr>
          <w:b/>
          <w:sz w:val="84"/>
          <w:szCs w:val="84"/>
          <w:lang w:val="zh-CN"/>
        </w:rPr>
      </w:pPr>
      <w:r>
        <w:rPr>
          <w:rFonts w:hint="eastAsia"/>
          <w:b/>
          <w:sz w:val="84"/>
          <w:szCs w:val="84"/>
          <w:lang w:val="zh-CN"/>
        </w:rPr>
        <w:t>指</w:t>
      </w:r>
    </w:p>
    <w:p w14:paraId="5E0AD654">
      <w:pPr>
        <w:spacing w:line="360" w:lineRule="auto"/>
        <w:jc w:val="center"/>
        <w:rPr>
          <w:b/>
          <w:sz w:val="84"/>
          <w:szCs w:val="84"/>
          <w:lang w:val="zh-CN"/>
        </w:rPr>
      </w:pPr>
      <w:r>
        <w:rPr>
          <w:rFonts w:hint="eastAsia"/>
          <w:b/>
          <w:sz w:val="84"/>
          <w:szCs w:val="84"/>
          <w:lang w:val="zh-CN"/>
        </w:rPr>
        <w:t>南</w:t>
      </w:r>
    </w:p>
    <w:p w14:paraId="5E0F8103">
      <w:pPr>
        <w:spacing w:line="360" w:lineRule="auto"/>
        <w:jc w:val="center"/>
        <w:rPr>
          <w:b/>
          <w:sz w:val="32"/>
          <w:szCs w:val="32"/>
        </w:rPr>
      </w:pPr>
    </w:p>
    <w:p w14:paraId="05DCFF90">
      <w:pPr>
        <w:spacing w:line="360" w:lineRule="auto"/>
        <w:jc w:val="center"/>
        <w:rPr>
          <w:b/>
          <w:sz w:val="32"/>
          <w:szCs w:val="32"/>
        </w:rPr>
      </w:pPr>
    </w:p>
    <w:p w14:paraId="194076E3">
      <w:pPr>
        <w:spacing w:line="360" w:lineRule="auto"/>
        <w:jc w:val="center"/>
        <w:rPr>
          <w:b/>
          <w:sz w:val="32"/>
          <w:szCs w:val="32"/>
        </w:rPr>
      </w:pPr>
    </w:p>
    <w:p w14:paraId="029E0E26">
      <w:pPr>
        <w:spacing w:line="360" w:lineRule="auto"/>
        <w:jc w:val="center"/>
        <w:rPr>
          <w:b/>
          <w:sz w:val="32"/>
          <w:szCs w:val="32"/>
        </w:rPr>
      </w:pPr>
    </w:p>
    <w:p w14:paraId="014FAF79">
      <w:pPr>
        <w:spacing w:line="360" w:lineRule="auto"/>
        <w:jc w:val="center"/>
        <w:rPr>
          <w:b/>
          <w:sz w:val="32"/>
          <w:szCs w:val="32"/>
        </w:rPr>
      </w:pPr>
      <w:r>
        <w:rPr>
          <w:rFonts w:hint="eastAsia"/>
          <w:b/>
          <w:sz w:val="32"/>
          <w:szCs w:val="32"/>
        </w:rPr>
        <w:t>安徽建筑大学制</w:t>
      </w:r>
    </w:p>
    <w:p w14:paraId="6C1093A9">
      <w:pPr>
        <w:spacing w:line="360" w:lineRule="auto"/>
        <w:jc w:val="center"/>
        <w:rPr>
          <w:b/>
          <w:sz w:val="32"/>
          <w:szCs w:val="32"/>
        </w:rPr>
      </w:pPr>
      <w:r>
        <w:rPr>
          <w:rFonts w:hint="eastAsia"/>
          <w:b/>
          <w:sz w:val="32"/>
          <w:szCs w:val="32"/>
        </w:rPr>
        <w:t>202</w:t>
      </w:r>
      <w:r>
        <w:rPr>
          <w:rFonts w:hint="eastAsia"/>
          <w:b/>
          <w:sz w:val="32"/>
          <w:szCs w:val="32"/>
          <w:lang w:val="en-US" w:eastAsia="zh-CN"/>
        </w:rPr>
        <w:t>4</w:t>
      </w:r>
      <w:r>
        <w:rPr>
          <w:rFonts w:hint="eastAsia"/>
          <w:b/>
          <w:sz w:val="32"/>
          <w:szCs w:val="32"/>
        </w:rPr>
        <w:t>年1</w:t>
      </w:r>
      <w:r>
        <w:rPr>
          <w:rFonts w:hint="eastAsia"/>
          <w:b/>
          <w:sz w:val="32"/>
          <w:szCs w:val="32"/>
          <w:lang w:val="en-US" w:eastAsia="zh-CN"/>
        </w:rPr>
        <w:t>2</w:t>
      </w:r>
      <w:r>
        <w:rPr>
          <w:rFonts w:hint="eastAsia"/>
          <w:b/>
          <w:sz w:val="32"/>
          <w:szCs w:val="32"/>
        </w:rPr>
        <w:t>月</w:t>
      </w:r>
    </w:p>
    <w:p w14:paraId="32C80196">
      <w:pPr>
        <w:pStyle w:val="19"/>
        <w:spacing w:before="0" w:line="360" w:lineRule="auto"/>
        <w:rPr>
          <w:rFonts w:ascii="仿宋_GB2312" w:eastAsia="仿宋_GB2312"/>
          <w:color w:val="000000"/>
        </w:rPr>
      </w:pPr>
      <w:r>
        <w:rPr>
          <w:rFonts w:hint="eastAsia" w:ascii="仿宋_GB2312" w:eastAsia="仿宋_GB2312"/>
          <w:color w:val="000000"/>
        </w:rPr>
        <w:t xml:space="preserve"> </w:t>
      </w:r>
    </w:p>
    <w:p w14:paraId="1EABBC62">
      <w:pPr>
        <w:pStyle w:val="13"/>
        <w:spacing w:before="0" w:beforeAutospacing="0" w:after="0" w:afterAutospacing="0" w:line="500" w:lineRule="exact"/>
        <w:ind w:firstLine="560" w:firstLineChars="200"/>
        <w:rPr>
          <w:rFonts w:ascii="仿宋_GB2312" w:eastAsia="仿宋_GB2312"/>
          <w:color w:val="000000"/>
          <w:sz w:val="28"/>
          <w:szCs w:val="28"/>
        </w:rPr>
        <w:sectPr>
          <w:headerReference r:id="rId4" w:type="first"/>
          <w:headerReference r:id="rId3" w:type="default"/>
          <w:footerReference r:id="rId5" w:type="default"/>
          <w:footerReference r:id="rId6" w:type="even"/>
          <w:pgSz w:w="11906" w:h="16838"/>
          <w:pgMar w:top="1440" w:right="1800" w:bottom="1440" w:left="1800" w:header="851" w:footer="992" w:gutter="0"/>
          <w:pgNumType w:start="1"/>
          <w:cols w:space="720" w:num="1"/>
          <w:titlePg/>
          <w:docGrid w:type="lines" w:linePitch="312" w:charSpace="0"/>
        </w:sectPr>
      </w:pPr>
    </w:p>
    <w:p w14:paraId="5D74801A">
      <w:pPr>
        <w:pStyle w:val="24"/>
        <w:jc w:val="center"/>
        <w:rPr>
          <w:rFonts w:ascii="宋体" w:hAnsi="宋体" w:eastAsia="宋体"/>
          <w:color w:val="auto"/>
          <w:sz w:val="44"/>
          <w:szCs w:val="44"/>
          <w:lang w:val="zh-CN"/>
        </w:rPr>
      </w:pPr>
      <w:r>
        <w:rPr>
          <w:rFonts w:hint="eastAsia" w:ascii="宋体" w:hAnsi="宋体" w:eastAsia="宋体"/>
          <w:color w:val="auto"/>
          <w:sz w:val="44"/>
          <w:szCs w:val="44"/>
          <w:lang w:val="zh-CN"/>
        </w:rPr>
        <w:t>目  录</w:t>
      </w:r>
    </w:p>
    <w:p w14:paraId="7AEF5B1F">
      <w:pPr>
        <w:rPr>
          <w:rFonts w:ascii="仿宋" w:hAnsi="仿宋" w:eastAsia="仿宋"/>
          <w:sz w:val="32"/>
          <w:szCs w:val="32"/>
        </w:rPr>
      </w:pPr>
    </w:p>
    <w:p w14:paraId="3D6A3D45">
      <w:pPr>
        <w:pStyle w:val="11"/>
        <w:keepNext w:val="0"/>
        <w:keepLines w:val="0"/>
        <w:pageBreakBefore w:val="0"/>
        <w:widowControl w:val="0"/>
        <w:tabs>
          <w:tab w:val="right" w:leader="dot" w:pos="8300"/>
        </w:tabs>
        <w:kinsoku/>
        <w:wordWrap/>
        <w:overflowPunct/>
        <w:topLinePunct w:val="0"/>
        <w:autoSpaceDE/>
        <w:autoSpaceDN/>
        <w:bidi w:val="0"/>
        <w:snapToGrid/>
        <w:spacing w:line="560" w:lineRule="exact"/>
        <w:textAlignment w:val="auto"/>
        <w:rPr>
          <w:rFonts w:hint="eastAsia" w:ascii="仿宋" w:hAnsi="仿宋" w:eastAsia="仿宋" w:cs="仿宋"/>
          <w:b/>
          <w:bCs/>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TOC \o "1-3" \h \z \u </w:instrText>
      </w:r>
      <w:r>
        <w:rPr>
          <w:rFonts w:hint="eastAsia" w:ascii="仿宋" w:hAnsi="仿宋" w:eastAsia="仿宋" w:cs="仿宋"/>
          <w:sz w:val="32"/>
          <w:szCs w:val="32"/>
        </w:rPr>
        <w:fldChar w:fldCharType="separate"/>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_Toc2936 </w:instrText>
      </w:r>
      <w:r>
        <w:rPr>
          <w:rFonts w:hint="eastAsia" w:ascii="仿宋" w:hAnsi="仿宋" w:eastAsia="仿宋" w:cs="仿宋"/>
          <w:b/>
          <w:bCs/>
          <w:sz w:val="32"/>
          <w:szCs w:val="32"/>
        </w:rPr>
        <w:fldChar w:fldCharType="separate"/>
      </w:r>
      <w:r>
        <w:rPr>
          <w:rFonts w:hint="eastAsia" w:ascii="仿宋" w:hAnsi="仿宋" w:eastAsia="仿宋" w:cs="仿宋"/>
          <w:b/>
          <w:bCs/>
          <w:kern w:val="0"/>
          <w:sz w:val="32"/>
          <w:szCs w:val="32"/>
        </w:rPr>
        <w:t>1.课程建设</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_Toc2936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1</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14:paraId="548A98A6">
      <w:pPr>
        <w:pStyle w:val="12"/>
        <w:keepNext w:val="0"/>
        <w:keepLines w:val="0"/>
        <w:pageBreakBefore w:val="0"/>
        <w:widowControl w:val="0"/>
        <w:tabs>
          <w:tab w:val="right" w:leader="dot" w:pos="8300"/>
          <w:tab w:val="clear" w:pos="8290"/>
        </w:tabs>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_Toc26629 </w:instrText>
      </w:r>
      <w:r>
        <w:rPr>
          <w:rFonts w:hint="eastAsia" w:ascii="仿宋" w:hAnsi="仿宋" w:eastAsia="仿宋" w:cs="仿宋"/>
          <w:sz w:val="32"/>
          <w:szCs w:val="32"/>
        </w:rPr>
        <w:fldChar w:fldCharType="separate"/>
      </w:r>
      <w:r>
        <w:rPr>
          <w:rFonts w:hint="eastAsia" w:ascii="仿宋" w:hAnsi="仿宋" w:eastAsia="仿宋" w:cs="仿宋"/>
          <w:bCs w:val="0"/>
          <w:kern w:val="0"/>
          <w:sz w:val="32"/>
          <w:szCs w:val="32"/>
        </w:rPr>
        <w:t>1-1线上课程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_Toc26629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40D4A1EC">
      <w:pPr>
        <w:pStyle w:val="12"/>
        <w:keepNext w:val="0"/>
        <w:keepLines w:val="0"/>
        <w:pageBreakBefore w:val="0"/>
        <w:widowControl w:val="0"/>
        <w:tabs>
          <w:tab w:val="right" w:leader="dot" w:pos="8300"/>
          <w:tab w:val="clear" w:pos="8290"/>
        </w:tabs>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_Toc17186 </w:instrText>
      </w:r>
      <w:r>
        <w:rPr>
          <w:rFonts w:hint="eastAsia" w:ascii="仿宋" w:hAnsi="仿宋" w:eastAsia="仿宋" w:cs="仿宋"/>
          <w:sz w:val="32"/>
          <w:szCs w:val="32"/>
        </w:rPr>
        <w:fldChar w:fldCharType="separate"/>
      </w:r>
      <w:r>
        <w:rPr>
          <w:rFonts w:hint="eastAsia" w:ascii="仿宋" w:hAnsi="仿宋" w:eastAsia="仿宋" w:cs="仿宋"/>
          <w:bCs w:val="0"/>
          <w:kern w:val="0"/>
          <w:sz w:val="32"/>
          <w:szCs w:val="32"/>
        </w:rPr>
        <w:t>1-2线下课程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_Toc17186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29283AFE">
      <w:pPr>
        <w:pStyle w:val="12"/>
        <w:keepNext w:val="0"/>
        <w:keepLines w:val="0"/>
        <w:pageBreakBefore w:val="0"/>
        <w:widowControl w:val="0"/>
        <w:tabs>
          <w:tab w:val="right" w:leader="dot" w:pos="8300"/>
          <w:tab w:val="clear" w:pos="8290"/>
        </w:tabs>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_Toc7151 </w:instrText>
      </w:r>
      <w:r>
        <w:rPr>
          <w:rFonts w:hint="eastAsia" w:ascii="仿宋" w:hAnsi="仿宋" w:eastAsia="仿宋" w:cs="仿宋"/>
          <w:sz w:val="32"/>
          <w:szCs w:val="32"/>
        </w:rPr>
        <w:fldChar w:fldCharType="separate"/>
      </w:r>
      <w:r>
        <w:rPr>
          <w:rFonts w:hint="eastAsia" w:ascii="仿宋" w:hAnsi="仿宋" w:eastAsia="仿宋" w:cs="仿宋"/>
          <w:bCs w:val="0"/>
          <w:kern w:val="0"/>
          <w:sz w:val="32"/>
          <w:szCs w:val="32"/>
        </w:rPr>
        <w:t>1-3 线上线下混合式课程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_Toc7151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054C5223">
      <w:pPr>
        <w:pStyle w:val="12"/>
        <w:keepNext w:val="0"/>
        <w:keepLines w:val="0"/>
        <w:pageBreakBefore w:val="0"/>
        <w:widowControl w:val="0"/>
        <w:tabs>
          <w:tab w:val="right" w:leader="dot" w:pos="8300"/>
          <w:tab w:val="clear" w:pos="8290"/>
        </w:tabs>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_Toc24014 </w:instrText>
      </w:r>
      <w:r>
        <w:rPr>
          <w:rFonts w:hint="eastAsia" w:ascii="仿宋" w:hAnsi="仿宋" w:eastAsia="仿宋" w:cs="仿宋"/>
          <w:sz w:val="32"/>
          <w:szCs w:val="32"/>
        </w:rPr>
        <w:fldChar w:fldCharType="separate"/>
      </w:r>
      <w:r>
        <w:rPr>
          <w:rFonts w:hint="eastAsia" w:ascii="仿宋" w:hAnsi="仿宋" w:eastAsia="仿宋" w:cs="仿宋"/>
          <w:kern w:val="0"/>
          <w:sz w:val="32"/>
          <w:szCs w:val="32"/>
        </w:rPr>
        <w:t>1-4 虚拟仿真实验教学课程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_Toc24014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6F1233D4">
      <w:pPr>
        <w:pStyle w:val="12"/>
        <w:keepNext w:val="0"/>
        <w:keepLines w:val="0"/>
        <w:pageBreakBefore w:val="0"/>
        <w:widowControl w:val="0"/>
        <w:tabs>
          <w:tab w:val="right" w:leader="dot" w:pos="8300"/>
          <w:tab w:val="clear" w:pos="8290"/>
        </w:tabs>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_Toc21324 </w:instrText>
      </w:r>
      <w:r>
        <w:rPr>
          <w:rFonts w:hint="eastAsia" w:ascii="仿宋" w:hAnsi="仿宋" w:eastAsia="仿宋" w:cs="仿宋"/>
          <w:sz w:val="32"/>
          <w:szCs w:val="32"/>
        </w:rPr>
        <w:fldChar w:fldCharType="separate"/>
      </w:r>
      <w:r>
        <w:rPr>
          <w:rFonts w:hint="eastAsia" w:ascii="仿宋" w:hAnsi="仿宋" w:eastAsia="仿宋" w:cs="仿宋"/>
          <w:kern w:val="0"/>
          <w:sz w:val="32"/>
          <w:szCs w:val="32"/>
        </w:rPr>
        <w:t>1-5社会实践课程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_Toc21324 \h </w:instrText>
      </w:r>
      <w:r>
        <w:rPr>
          <w:rFonts w:hint="eastAsia" w:ascii="仿宋" w:hAnsi="仿宋" w:eastAsia="仿宋" w:cs="仿宋"/>
          <w:sz w:val="32"/>
          <w:szCs w:val="32"/>
        </w:rPr>
        <w:fldChar w:fldCharType="separate"/>
      </w:r>
      <w:r>
        <w:rPr>
          <w:rFonts w:hint="eastAsia" w:ascii="仿宋" w:hAnsi="仿宋" w:eastAsia="仿宋" w:cs="仿宋"/>
          <w:sz w:val="32"/>
          <w:szCs w:val="32"/>
        </w:rPr>
        <w:t>14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7FF51DC8">
      <w:pPr>
        <w:pStyle w:val="12"/>
        <w:keepNext w:val="0"/>
        <w:keepLines w:val="0"/>
        <w:pageBreakBefore w:val="0"/>
        <w:widowControl w:val="0"/>
        <w:tabs>
          <w:tab w:val="right" w:leader="dot" w:pos="8300"/>
          <w:tab w:val="clear" w:pos="8290"/>
        </w:tabs>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_Toc8625 </w:instrText>
      </w:r>
      <w:r>
        <w:rPr>
          <w:rFonts w:hint="eastAsia" w:ascii="仿宋" w:hAnsi="仿宋" w:eastAsia="仿宋" w:cs="仿宋"/>
          <w:sz w:val="32"/>
          <w:szCs w:val="32"/>
        </w:rPr>
        <w:fldChar w:fldCharType="separate"/>
      </w:r>
      <w:r>
        <w:rPr>
          <w:rFonts w:hint="eastAsia" w:ascii="仿宋" w:hAnsi="仿宋" w:eastAsia="仿宋" w:cs="仿宋"/>
          <w:kern w:val="0"/>
          <w:sz w:val="32"/>
          <w:szCs w:val="32"/>
          <w:lang w:val="en-US" w:eastAsia="zh-CN"/>
        </w:rPr>
        <w:t>1-6</w:t>
      </w:r>
      <w:r>
        <w:rPr>
          <w:rFonts w:hint="eastAsia" w:ascii="仿宋" w:hAnsi="仿宋" w:eastAsia="仿宋" w:cs="仿宋"/>
          <w:kern w:val="0"/>
          <w:sz w:val="32"/>
          <w:szCs w:val="32"/>
        </w:rPr>
        <w:t xml:space="preserve"> 智慧课程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_Toc8625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688543E0">
      <w:pPr>
        <w:pStyle w:val="12"/>
        <w:keepNext w:val="0"/>
        <w:keepLines w:val="0"/>
        <w:pageBreakBefore w:val="0"/>
        <w:widowControl w:val="0"/>
        <w:tabs>
          <w:tab w:val="right" w:leader="dot" w:pos="8300"/>
          <w:tab w:val="clear" w:pos="8290"/>
        </w:tabs>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_Toc18767 </w:instrText>
      </w:r>
      <w:r>
        <w:rPr>
          <w:rFonts w:hint="eastAsia" w:ascii="仿宋" w:hAnsi="仿宋" w:eastAsia="仿宋" w:cs="仿宋"/>
          <w:sz w:val="32"/>
          <w:szCs w:val="32"/>
        </w:rPr>
        <w:fldChar w:fldCharType="separate"/>
      </w:r>
      <w:r>
        <w:rPr>
          <w:rFonts w:hint="eastAsia" w:ascii="仿宋" w:hAnsi="仿宋" w:eastAsia="仿宋" w:cs="仿宋"/>
          <w:kern w:val="0"/>
          <w:sz w:val="32"/>
          <w:szCs w:val="32"/>
          <w:lang w:val="en-US" w:eastAsia="zh-CN"/>
        </w:rPr>
        <w:t>1-7 人工智能通识课程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_Toc18767 \h </w:instrText>
      </w:r>
      <w:r>
        <w:rPr>
          <w:rFonts w:hint="eastAsia" w:ascii="仿宋" w:hAnsi="仿宋" w:eastAsia="仿宋" w:cs="仿宋"/>
          <w:sz w:val="32"/>
          <w:szCs w:val="32"/>
        </w:rPr>
        <w:fldChar w:fldCharType="separate"/>
      </w:r>
      <w:r>
        <w:rPr>
          <w:rFonts w:hint="eastAsia" w:ascii="仿宋" w:hAnsi="仿宋" w:eastAsia="仿宋" w:cs="仿宋"/>
          <w:sz w:val="32"/>
          <w:szCs w:val="32"/>
        </w:rPr>
        <w:t>18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7406C449">
      <w:pPr>
        <w:pStyle w:val="12"/>
        <w:keepNext w:val="0"/>
        <w:keepLines w:val="0"/>
        <w:pageBreakBefore w:val="0"/>
        <w:widowControl w:val="0"/>
        <w:tabs>
          <w:tab w:val="right" w:leader="dot" w:pos="8300"/>
          <w:tab w:val="clear" w:pos="8290"/>
        </w:tabs>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_Toc31681 </w:instrText>
      </w:r>
      <w:r>
        <w:rPr>
          <w:rFonts w:hint="eastAsia" w:ascii="仿宋" w:hAnsi="仿宋" w:eastAsia="仿宋" w:cs="仿宋"/>
          <w:sz w:val="32"/>
          <w:szCs w:val="32"/>
        </w:rPr>
        <w:fldChar w:fldCharType="separate"/>
      </w:r>
      <w:r>
        <w:rPr>
          <w:rFonts w:hint="eastAsia" w:ascii="仿宋" w:hAnsi="仿宋" w:eastAsia="仿宋" w:cs="仿宋"/>
          <w:kern w:val="0"/>
          <w:sz w:val="32"/>
          <w:szCs w:val="32"/>
          <w:lang w:val="en-US" w:eastAsia="zh-CN"/>
        </w:rPr>
        <w:t>1-8 “行业企业课程资源库”“真实项目案例库”</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_Toc31681 \h </w:instrText>
      </w:r>
      <w:r>
        <w:rPr>
          <w:rFonts w:hint="eastAsia" w:ascii="仿宋" w:hAnsi="仿宋" w:eastAsia="仿宋" w:cs="仿宋"/>
          <w:sz w:val="32"/>
          <w:szCs w:val="32"/>
        </w:rPr>
        <w:fldChar w:fldCharType="separate"/>
      </w:r>
      <w:r>
        <w:rPr>
          <w:rFonts w:hint="eastAsia" w:ascii="仿宋" w:hAnsi="仿宋" w:eastAsia="仿宋" w:cs="仿宋"/>
          <w:sz w:val="32"/>
          <w:szCs w:val="32"/>
        </w:rPr>
        <w:t>20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09054E0B">
      <w:pPr>
        <w:pStyle w:val="11"/>
        <w:keepNext w:val="0"/>
        <w:keepLines w:val="0"/>
        <w:pageBreakBefore w:val="0"/>
        <w:widowControl w:val="0"/>
        <w:tabs>
          <w:tab w:val="right" w:leader="dot" w:pos="8300"/>
        </w:tabs>
        <w:kinsoku/>
        <w:wordWrap/>
        <w:overflowPunct/>
        <w:topLinePunct w:val="0"/>
        <w:autoSpaceDE/>
        <w:autoSpaceDN/>
        <w:bidi w:val="0"/>
        <w:snapToGrid/>
        <w:spacing w:line="56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_Toc894 </w:instrText>
      </w:r>
      <w:r>
        <w:rPr>
          <w:rFonts w:hint="eastAsia" w:ascii="仿宋" w:hAnsi="仿宋" w:eastAsia="仿宋" w:cs="仿宋"/>
          <w:b/>
          <w:bCs/>
          <w:sz w:val="32"/>
          <w:szCs w:val="32"/>
        </w:rPr>
        <w:fldChar w:fldCharType="separate"/>
      </w:r>
      <w:r>
        <w:rPr>
          <w:rFonts w:hint="eastAsia" w:ascii="仿宋" w:hAnsi="仿宋" w:eastAsia="仿宋" w:cs="仿宋"/>
          <w:b/>
          <w:bCs/>
          <w:kern w:val="0"/>
          <w:sz w:val="32"/>
          <w:szCs w:val="32"/>
        </w:rPr>
        <w:t>2.教材建设</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_Toc894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21</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14:paraId="410D4199">
      <w:pPr>
        <w:pStyle w:val="11"/>
        <w:keepNext w:val="0"/>
        <w:keepLines w:val="0"/>
        <w:pageBreakBefore w:val="0"/>
        <w:widowControl w:val="0"/>
        <w:tabs>
          <w:tab w:val="right" w:leader="dot" w:pos="8300"/>
        </w:tabs>
        <w:kinsoku/>
        <w:wordWrap/>
        <w:overflowPunct/>
        <w:topLinePunct w:val="0"/>
        <w:autoSpaceDE/>
        <w:autoSpaceDN/>
        <w:bidi w:val="0"/>
        <w:snapToGrid/>
        <w:spacing w:line="56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_Toc32320 </w:instrText>
      </w:r>
      <w:r>
        <w:rPr>
          <w:rFonts w:hint="eastAsia" w:ascii="仿宋" w:hAnsi="仿宋" w:eastAsia="仿宋" w:cs="仿宋"/>
          <w:b/>
          <w:bCs/>
          <w:sz w:val="32"/>
          <w:szCs w:val="32"/>
        </w:rPr>
        <w:fldChar w:fldCharType="separate"/>
      </w:r>
      <w:r>
        <w:rPr>
          <w:rFonts w:hint="eastAsia" w:ascii="仿宋" w:hAnsi="仿宋" w:eastAsia="仿宋" w:cs="仿宋"/>
          <w:b/>
          <w:bCs/>
          <w:kern w:val="0"/>
          <w:sz w:val="32"/>
          <w:szCs w:val="32"/>
        </w:rPr>
        <w:t>3.教育教学改革研究</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_Toc32320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25</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14:paraId="66A434FB">
      <w:pPr>
        <w:pStyle w:val="11"/>
        <w:keepNext w:val="0"/>
        <w:keepLines w:val="0"/>
        <w:pageBreakBefore w:val="0"/>
        <w:widowControl w:val="0"/>
        <w:tabs>
          <w:tab w:val="right" w:leader="dot" w:pos="8300"/>
        </w:tabs>
        <w:kinsoku/>
        <w:wordWrap/>
        <w:overflowPunct/>
        <w:topLinePunct w:val="0"/>
        <w:autoSpaceDE/>
        <w:autoSpaceDN/>
        <w:bidi w:val="0"/>
        <w:snapToGrid/>
        <w:spacing w:line="560" w:lineRule="exact"/>
        <w:textAlignment w:val="auto"/>
        <w:rPr>
          <w:rFonts w:ascii="仿宋" w:hAnsi="仿宋" w:eastAsia="仿宋" w:cs="微软雅黑"/>
          <w:sz w:val="32"/>
          <w:szCs w:val="32"/>
        </w:rPr>
      </w:pPr>
      <w:r>
        <w:rPr>
          <w:rFonts w:hint="eastAsia" w:ascii="仿宋" w:hAnsi="仿宋" w:eastAsia="仿宋" w:cs="仿宋"/>
          <w:sz w:val="32"/>
          <w:szCs w:val="32"/>
        </w:rPr>
        <w:fldChar w:fldCharType="end"/>
      </w:r>
    </w:p>
    <w:p w14:paraId="42DCA672">
      <w:pPr>
        <w:tabs>
          <w:tab w:val="left" w:pos="4721"/>
        </w:tabs>
        <w:adjustRightInd w:val="0"/>
        <w:snapToGrid w:val="0"/>
        <w:spacing w:line="360" w:lineRule="auto"/>
        <w:rPr>
          <w:rFonts w:hint="eastAsia" w:ascii="微软雅黑" w:hAnsi="微软雅黑" w:eastAsia="微软雅黑" w:cs="微软雅黑"/>
          <w:kern w:val="0"/>
          <w:sz w:val="28"/>
          <w:szCs w:val="28"/>
        </w:rPr>
      </w:pPr>
      <w:bookmarkStart w:id="3" w:name="_Toc29987"/>
      <w:bookmarkStart w:id="4" w:name="_Toc29988"/>
    </w:p>
    <w:p w14:paraId="1E44671E">
      <w:pPr>
        <w:tabs>
          <w:tab w:val="left" w:pos="4721"/>
        </w:tabs>
        <w:adjustRightInd w:val="0"/>
        <w:snapToGrid w:val="0"/>
        <w:spacing w:line="360" w:lineRule="auto"/>
        <w:rPr>
          <w:rFonts w:hint="eastAsia" w:ascii="微软雅黑" w:hAnsi="微软雅黑" w:eastAsia="微软雅黑" w:cs="微软雅黑"/>
          <w:kern w:val="0"/>
          <w:sz w:val="28"/>
          <w:szCs w:val="28"/>
        </w:rPr>
      </w:pPr>
    </w:p>
    <w:bookmarkEnd w:id="3"/>
    <w:bookmarkEnd w:id="4"/>
    <w:p w14:paraId="77B201F0">
      <w:pPr>
        <w:pStyle w:val="2"/>
        <w:spacing w:line="560" w:lineRule="exact"/>
        <w:ind w:firstLine="640" w:firstLineChars="200"/>
        <w:jc w:val="center"/>
        <w:rPr>
          <w:rFonts w:hint="eastAsia" w:ascii="黑体" w:hAnsi="黑体" w:eastAsia="黑体"/>
          <w:b w:val="0"/>
          <w:kern w:val="0"/>
          <w:sz w:val="32"/>
          <w:szCs w:val="32"/>
        </w:rPr>
        <w:sectPr>
          <w:footerReference r:id="rId7" w:type="default"/>
          <w:pgSz w:w="11900" w:h="16840"/>
          <w:pgMar w:top="1440" w:right="1800" w:bottom="1440" w:left="1800" w:header="851" w:footer="992" w:gutter="0"/>
          <w:cols w:space="425" w:num="1"/>
          <w:docGrid w:type="lines" w:linePitch="312" w:charSpace="0"/>
        </w:sectPr>
      </w:pPr>
      <w:bookmarkStart w:id="5" w:name="_Toc7826"/>
      <w:bookmarkStart w:id="6" w:name="_Toc20588"/>
      <w:bookmarkStart w:id="7" w:name="_Toc121316384"/>
    </w:p>
    <w:p w14:paraId="597F390E">
      <w:pPr>
        <w:pStyle w:val="2"/>
        <w:spacing w:line="560" w:lineRule="exact"/>
        <w:ind w:firstLine="640" w:firstLineChars="200"/>
        <w:jc w:val="center"/>
        <w:rPr>
          <w:rFonts w:ascii="黑体" w:hAnsi="黑体" w:eastAsia="黑体"/>
          <w:b w:val="0"/>
          <w:kern w:val="0"/>
          <w:sz w:val="32"/>
          <w:szCs w:val="32"/>
        </w:rPr>
      </w:pPr>
      <w:bookmarkStart w:id="8" w:name="_Toc2936"/>
      <w:r>
        <w:rPr>
          <w:rFonts w:hint="eastAsia" w:ascii="黑体" w:hAnsi="黑体" w:eastAsia="黑体"/>
          <w:b w:val="0"/>
          <w:kern w:val="0"/>
          <w:sz w:val="32"/>
          <w:szCs w:val="32"/>
        </w:rPr>
        <w:t>1</w:t>
      </w:r>
      <w:r>
        <w:rPr>
          <w:rFonts w:ascii="黑体" w:hAnsi="黑体" w:eastAsia="黑体"/>
          <w:b w:val="0"/>
          <w:kern w:val="0"/>
          <w:sz w:val="32"/>
          <w:szCs w:val="32"/>
        </w:rPr>
        <w:t>.</w:t>
      </w:r>
      <w:r>
        <w:rPr>
          <w:rFonts w:hint="eastAsia" w:ascii="黑体" w:hAnsi="黑体" w:eastAsia="黑体"/>
          <w:b w:val="0"/>
          <w:kern w:val="0"/>
          <w:sz w:val="32"/>
          <w:szCs w:val="32"/>
        </w:rPr>
        <w:t>课程</w:t>
      </w:r>
      <w:bookmarkEnd w:id="5"/>
      <w:bookmarkEnd w:id="6"/>
      <w:r>
        <w:rPr>
          <w:rFonts w:hint="eastAsia" w:ascii="黑体" w:hAnsi="黑体" w:eastAsia="黑体"/>
          <w:b w:val="0"/>
          <w:kern w:val="0"/>
          <w:sz w:val="32"/>
          <w:szCs w:val="32"/>
        </w:rPr>
        <w:t>建设</w:t>
      </w:r>
      <w:bookmarkEnd w:id="7"/>
      <w:bookmarkEnd w:id="8"/>
    </w:p>
    <w:p w14:paraId="60585D42">
      <w:pPr>
        <w:pStyle w:val="3"/>
        <w:outlineLvl w:val="1"/>
        <w:rPr>
          <w:rFonts w:ascii="仿宋" w:hAnsi="仿宋" w:eastAsia="仿宋"/>
          <w:bCs w:val="0"/>
          <w:kern w:val="0"/>
          <w:sz w:val="32"/>
          <w:szCs w:val="32"/>
        </w:rPr>
      </w:pPr>
      <w:bookmarkStart w:id="9" w:name="_Toc121316385"/>
      <w:bookmarkStart w:id="10" w:name="_Toc4040"/>
      <w:bookmarkStart w:id="11" w:name="_Toc26629"/>
      <w:bookmarkStart w:id="12" w:name="_Toc19202"/>
      <w:r>
        <w:rPr>
          <w:rFonts w:hint="eastAsia" w:ascii="仿宋" w:hAnsi="仿宋" w:eastAsia="仿宋"/>
          <w:bCs w:val="0"/>
          <w:kern w:val="0"/>
          <w:sz w:val="32"/>
          <w:szCs w:val="32"/>
        </w:rPr>
        <w:t>1-1线上课程</w:t>
      </w:r>
      <w:bookmarkEnd w:id="9"/>
      <w:bookmarkEnd w:id="10"/>
      <w:bookmarkEnd w:id="11"/>
      <w:bookmarkEnd w:id="12"/>
    </w:p>
    <w:p w14:paraId="3B1FCEBB">
      <w:pPr>
        <w:widowControl/>
        <w:spacing w:line="560" w:lineRule="exact"/>
        <w:ind w:firstLine="643" w:firstLineChars="200"/>
        <w:rPr>
          <w:rFonts w:ascii="仿宋" w:hAnsi="仿宋" w:eastAsia="仿宋" w:cs="宋体"/>
          <w:b/>
          <w:bCs/>
          <w:kern w:val="0"/>
          <w:sz w:val="32"/>
          <w:szCs w:val="32"/>
        </w:rPr>
      </w:pPr>
      <w:r>
        <w:rPr>
          <w:rFonts w:hint="eastAsia" w:ascii="仿宋" w:hAnsi="仿宋" w:eastAsia="仿宋" w:cs="宋体"/>
          <w:b/>
          <w:bCs/>
          <w:kern w:val="0"/>
          <w:sz w:val="32"/>
          <w:szCs w:val="32"/>
        </w:rPr>
        <w:t>一、建设目标</w:t>
      </w:r>
    </w:p>
    <w:p w14:paraId="1045FB2E">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通过互联网技术与应用的云端开放式课程教育平台，</w:t>
      </w:r>
      <w:r>
        <w:rPr>
          <w:rFonts w:ascii="仿宋" w:hAnsi="仿宋" w:eastAsia="仿宋" w:cs="宋体"/>
          <w:color w:val="000000"/>
          <w:kern w:val="0"/>
          <w:sz w:val="32"/>
          <w:szCs w:val="32"/>
        </w:rPr>
        <w:t>更新教育理念、拓展教学时空、丰富教学内容、创新教学活动、变革教学手段、改进教学方法</w:t>
      </w:r>
      <w:r>
        <w:rPr>
          <w:rFonts w:hint="eastAsia" w:ascii="仿宋" w:hAnsi="仿宋" w:eastAsia="仿宋" w:cs="宋体"/>
          <w:color w:val="000000"/>
          <w:kern w:val="0"/>
          <w:sz w:val="32"/>
          <w:szCs w:val="32"/>
        </w:rPr>
        <w:t>，</w:t>
      </w:r>
      <w:r>
        <w:rPr>
          <w:rFonts w:ascii="仿宋" w:hAnsi="仿宋" w:eastAsia="仿宋" w:cs="宋体"/>
          <w:color w:val="000000"/>
          <w:kern w:val="0"/>
          <w:sz w:val="32"/>
          <w:szCs w:val="32"/>
        </w:rPr>
        <w:t>进一步推动</w:t>
      </w:r>
      <w:r>
        <w:rPr>
          <w:rFonts w:hint="eastAsia" w:ascii="仿宋" w:hAnsi="仿宋" w:eastAsia="仿宋" w:cs="宋体"/>
          <w:color w:val="000000"/>
          <w:kern w:val="0"/>
          <w:sz w:val="32"/>
          <w:szCs w:val="32"/>
        </w:rPr>
        <w:t>我省大规模</w:t>
      </w:r>
      <w:r>
        <w:rPr>
          <w:rFonts w:ascii="仿宋" w:hAnsi="仿宋" w:eastAsia="仿宋" w:cs="宋体"/>
          <w:color w:val="000000"/>
          <w:kern w:val="0"/>
          <w:sz w:val="32"/>
          <w:szCs w:val="32"/>
        </w:rPr>
        <w:t>在线开放课程建设与应用共享，</w:t>
      </w:r>
      <w:r>
        <w:rPr>
          <w:rFonts w:hint="eastAsia" w:ascii="仿宋" w:hAnsi="仿宋" w:eastAsia="仿宋" w:cs="宋体"/>
          <w:color w:val="000000"/>
          <w:kern w:val="0"/>
          <w:sz w:val="32"/>
          <w:szCs w:val="32"/>
        </w:rPr>
        <w:t>优化</w:t>
      </w:r>
      <w:r>
        <w:rPr>
          <w:rFonts w:ascii="仿宋" w:hAnsi="仿宋" w:eastAsia="仿宋" w:cs="宋体"/>
          <w:color w:val="000000"/>
          <w:kern w:val="0"/>
          <w:sz w:val="32"/>
          <w:szCs w:val="32"/>
        </w:rPr>
        <w:t>教学资源，提高高等教育教学质量，服务学习型社会建设</w:t>
      </w:r>
      <w:r>
        <w:rPr>
          <w:rFonts w:hint="eastAsia" w:ascii="仿宋" w:hAnsi="仿宋" w:eastAsia="仿宋" w:cs="宋体"/>
          <w:color w:val="000000"/>
          <w:kern w:val="0"/>
          <w:sz w:val="32"/>
          <w:szCs w:val="32"/>
        </w:rPr>
        <w:t>。</w:t>
      </w:r>
    </w:p>
    <w:p w14:paraId="230B4725">
      <w:pPr>
        <w:widowControl/>
        <w:spacing w:line="560" w:lineRule="exact"/>
        <w:ind w:firstLine="643" w:firstLineChars="200"/>
        <w:rPr>
          <w:rFonts w:ascii="仿宋" w:hAnsi="仿宋" w:eastAsia="仿宋" w:cs="宋体"/>
          <w:b/>
          <w:bCs/>
          <w:kern w:val="0"/>
          <w:sz w:val="32"/>
          <w:szCs w:val="32"/>
        </w:rPr>
      </w:pPr>
      <w:r>
        <w:rPr>
          <w:rFonts w:hint="eastAsia" w:ascii="仿宋" w:hAnsi="仿宋" w:eastAsia="仿宋" w:cs="宋体"/>
          <w:b/>
          <w:bCs/>
          <w:kern w:val="0"/>
          <w:sz w:val="32"/>
          <w:szCs w:val="32"/>
        </w:rPr>
        <w:t>二、建设内容</w:t>
      </w:r>
    </w:p>
    <w:p w14:paraId="05166189">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1.课程资源：课程基于MOOC课程特性进行建设。需对现有课程教学设计、单元内容、知识结构、课程资源、评价体系等进行改革，以符合大规模网络教学特征。视频内容按问题组织知识点，以知识点进行资源建设，</w:t>
      </w:r>
      <w:r>
        <w:rPr>
          <w:rFonts w:ascii="仿宋" w:hAnsi="仿宋" w:eastAsia="仿宋" w:cs="宋体"/>
          <w:color w:val="000000"/>
          <w:kern w:val="0"/>
          <w:sz w:val="32"/>
          <w:szCs w:val="32"/>
        </w:rPr>
        <w:t>注重以学生为中心建立教与学新型关系，注重学生批判性思维、合作能力、复杂问题解决能力的培育</w:t>
      </w:r>
      <w:r>
        <w:rPr>
          <w:rFonts w:hint="eastAsia" w:ascii="仿宋" w:hAnsi="仿宋" w:eastAsia="仿宋" w:cs="宋体"/>
          <w:color w:val="000000"/>
          <w:kern w:val="0"/>
          <w:sz w:val="32"/>
          <w:szCs w:val="32"/>
        </w:rPr>
        <w:t>。（课程性质可根据实际情况选择，可多选。）</w:t>
      </w:r>
    </w:p>
    <w:p w14:paraId="2345C412">
      <w:pPr>
        <w:widowControl/>
        <w:spacing w:line="560" w:lineRule="exact"/>
        <w:ind w:firstLine="640" w:firstLineChars="200"/>
        <w:rPr>
          <w:rFonts w:ascii="仿宋" w:hAnsi="仿宋" w:eastAsia="仿宋" w:cs="宋体"/>
          <w:kern w:val="0"/>
          <w:sz w:val="32"/>
          <w:szCs w:val="32"/>
        </w:rPr>
      </w:pPr>
      <w:r>
        <w:rPr>
          <w:rFonts w:hint="eastAsia" w:ascii="仿宋" w:hAnsi="仿宋" w:eastAsia="仿宋" w:cs="宋体"/>
          <w:color w:val="000000"/>
          <w:kern w:val="0"/>
          <w:sz w:val="32"/>
          <w:szCs w:val="32"/>
        </w:rPr>
        <w:t>2.平台支持：利用向高校和社会开放学习服务的公开课程平台，</w:t>
      </w:r>
      <w:r>
        <w:rPr>
          <w:rFonts w:ascii="仿宋" w:hAnsi="仿宋" w:eastAsia="仿宋" w:cs="宋体"/>
          <w:color w:val="000000"/>
          <w:kern w:val="0"/>
          <w:sz w:val="32"/>
          <w:szCs w:val="32"/>
        </w:rPr>
        <w:t>平台运行安全稳定畅通，课程在线教学支持服务高效</w:t>
      </w:r>
      <w:r>
        <w:rPr>
          <w:rFonts w:hint="eastAsia" w:ascii="仿宋" w:hAnsi="仿宋" w:eastAsia="仿宋" w:cs="宋体"/>
          <w:color w:val="000000"/>
          <w:kern w:val="0"/>
          <w:sz w:val="32"/>
          <w:szCs w:val="32"/>
        </w:rPr>
        <w:t>。</w:t>
      </w:r>
      <w:r>
        <w:rPr>
          <w:rFonts w:hint="eastAsia" w:ascii="仿宋" w:hAnsi="仿宋" w:eastAsia="仿宋" w:cs="宋体"/>
          <w:kern w:val="0"/>
          <w:sz w:val="32"/>
          <w:szCs w:val="32"/>
        </w:rPr>
        <w:t>鼓励使用</w:t>
      </w:r>
      <w:r>
        <w:rPr>
          <w:rFonts w:ascii="仿宋" w:hAnsi="仿宋" w:eastAsia="仿宋" w:cs="宋体"/>
          <w:kern w:val="0"/>
          <w:sz w:val="32"/>
          <w:szCs w:val="32"/>
        </w:rPr>
        <w:t>省级在线开放课程平台e会学平台，</w:t>
      </w:r>
      <w:r>
        <w:rPr>
          <w:rFonts w:hint="eastAsia" w:ascii="仿宋" w:hAnsi="仿宋" w:eastAsia="仿宋" w:cs="宋体"/>
          <w:kern w:val="0"/>
          <w:sz w:val="32"/>
          <w:szCs w:val="32"/>
        </w:rPr>
        <w:t>以便于</w:t>
      </w:r>
      <w:r>
        <w:rPr>
          <w:rFonts w:ascii="仿宋" w:hAnsi="仿宋" w:eastAsia="仿宋" w:cs="宋体"/>
          <w:kern w:val="0"/>
          <w:sz w:val="32"/>
          <w:szCs w:val="32"/>
        </w:rPr>
        <w:t>后期学分互换、</w:t>
      </w:r>
      <w:r>
        <w:rPr>
          <w:rFonts w:hint="eastAsia" w:ascii="仿宋" w:hAnsi="仿宋" w:eastAsia="仿宋" w:cs="宋体"/>
          <w:kern w:val="0"/>
          <w:sz w:val="32"/>
          <w:szCs w:val="32"/>
        </w:rPr>
        <w:t>互认</w:t>
      </w:r>
      <w:r>
        <w:rPr>
          <w:rFonts w:ascii="仿宋" w:hAnsi="仿宋" w:eastAsia="仿宋" w:cs="宋体"/>
          <w:kern w:val="0"/>
          <w:sz w:val="32"/>
          <w:szCs w:val="32"/>
        </w:rPr>
        <w:t>以及课程共享联盟工作的开展</w:t>
      </w:r>
      <w:r>
        <w:rPr>
          <w:rFonts w:hint="eastAsia" w:ascii="仿宋" w:hAnsi="仿宋" w:eastAsia="仿宋" w:cs="宋体"/>
          <w:kern w:val="0"/>
          <w:sz w:val="32"/>
          <w:szCs w:val="32"/>
        </w:rPr>
        <w:t>。</w:t>
      </w:r>
    </w:p>
    <w:p w14:paraId="36263A25">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 xml:space="preserve">3.平台数据：申报课程可在多个平台开课，多个平台的有关数据可按平台分别提供“课程数据信息表”。 </w:t>
      </w:r>
    </w:p>
    <w:p w14:paraId="0F0BFDF0">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4.团队建设：团队应包括主讲、在线教学人员，既确保课程学术性又考虑技术性，充分做好网络教学设计与在线教学过程的互动交流。</w:t>
      </w:r>
    </w:p>
    <w:p w14:paraId="30985B15">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5.要加强整合、引导教师团队以专业（类）为核心，开发一批基于MOOC的网络课程群，供学生和社会公众学习，实现优质课程资源共享。</w:t>
      </w:r>
    </w:p>
    <w:p w14:paraId="0DC90622">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6.鼓励建设一批面向高中的、具有本校优势与特色的大学先修课程</w:t>
      </w:r>
      <w:r>
        <w:rPr>
          <w:rFonts w:ascii="仿宋" w:hAnsi="仿宋" w:eastAsia="仿宋" w:cs="宋体"/>
          <w:color w:val="000000"/>
          <w:kern w:val="0"/>
          <w:sz w:val="32"/>
          <w:szCs w:val="32"/>
        </w:rPr>
        <w:t>（Advanced Placement）</w:t>
      </w:r>
      <w:r>
        <w:rPr>
          <w:rFonts w:hint="eastAsia" w:ascii="仿宋" w:hAnsi="仿宋" w:eastAsia="仿宋" w:cs="宋体"/>
          <w:color w:val="000000"/>
          <w:kern w:val="0"/>
          <w:sz w:val="32"/>
          <w:szCs w:val="32"/>
        </w:rPr>
        <w:t>，供高中学生选修。</w:t>
      </w:r>
    </w:p>
    <w:p w14:paraId="2F3D0170">
      <w:pPr>
        <w:widowControl/>
        <w:spacing w:line="560" w:lineRule="exact"/>
        <w:ind w:firstLine="643" w:firstLineChars="200"/>
        <w:rPr>
          <w:rFonts w:ascii="仿宋" w:hAnsi="仿宋" w:eastAsia="仿宋" w:cs="宋体"/>
          <w:b/>
          <w:bCs/>
          <w:kern w:val="0"/>
          <w:sz w:val="32"/>
          <w:szCs w:val="32"/>
        </w:rPr>
      </w:pPr>
      <w:r>
        <w:rPr>
          <w:rFonts w:hint="eastAsia" w:ascii="仿宋" w:hAnsi="仿宋" w:eastAsia="仿宋" w:cs="宋体"/>
          <w:b/>
          <w:bCs/>
          <w:kern w:val="0"/>
          <w:sz w:val="32"/>
          <w:szCs w:val="32"/>
        </w:rPr>
        <w:t>三、申报范围与要求</w:t>
      </w:r>
    </w:p>
    <w:p w14:paraId="37D9ADB6">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1.申报课程必须是普通高等学校本科课程或高等学历继续教育课程。鼓励量大面广的公共基础课、专业基础课、专业核心课申报，</w:t>
      </w:r>
      <w:r>
        <w:rPr>
          <w:rFonts w:ascii="仿宋" w:hAnsi="仿宋" w:eastAsia="仿宋" w:cs="宋体"/>
          <w:color w:val="000000"/>
          <w:kern w:val="0"/>
          <w:sz w:val="32"/>
          <w:szCs w:val="32"/>
        </w:rPr>
        <w:t>鼓励体现多学科思维融合、产业技术与学科理论融合、跨专业能力融合、多学科项目实践融合的新工科、新医科、新农科、新文科等高水平课程申报；鼓励有利于对外传播的双语课程申报。</w:t>
      </w:r>
      <w:r>
        <w:rPr>
          <w:rFonts w:hint="eastAsia" w:ascii="仿宋" w:hAnsi="仿宋" w:eastAsia="仿宋" w:cs="宋体"/>
          <w:color w:val="000000"/>
          <w:kern w:val="0"/>
          <w:sz w:val="32"/>
          <w:szCs w:val="32"/>
        </w:rPr>
        <w:t>申报课程应在高等学校已连续开设</w:t>
      </w:r>
      <w:r>
        <w:rPr>
          <w:rFonts w:ascii="仿宋" w:hAnsi="仿宋" w:eastAsia="仿宋" w:cs="宋体"/>
          <w:color w:val="000000"/>
          <w:kern w:val="0"/>
          <w:sz w:val="32"/>
          <w:szCs w:val="32"/>
        </w:rPr>
        <w:t>3</w:t>
      </w:r>
      <w:r>
        <w:rPr>
          <w:rFonts w:hint="eastAsia" w:ascii="仿宋" w:hAnsi="仿宋" w:eastAsia="仿宋" w:cs="宋体"/>
          <w:color w:val="000000"/>
          <w:kern w:val="0"/>
          <w:sz w:val="32"/>
          <w:szCs w:val="32"/>
        </w:rPr>
        <w:t>个教学周期以上；课程负责人</w:t>
      </w:r>
      <w:r>
        <w:rPr>
          <w:rFonts w:ascii="仿宋" w:hAnsi="仿宋" w:eastAsia="仿宋" w:cs="宋体"/>
          <w:color w:val="000000"/>
          <w:kern w:val="0"/>
          <w:sz w:val="32"/>
          <w:szCs w:val="32"/>
        </w:rPr>
        <w:t>须为申报高校</w:t>
      </w:r>
      <w:r>
        <w:rPr>
          <w:rFonts w:hint="eastAsia" w:ascii="仿宋" w:hAnsi="仿宋" w:eastAsia="仿宋" w:cs="宋体"/>
          <w:color w:val="000000"/>
          <w:kern w:val="0"/>
          <w:sz w:val="32"/>
          <w:szCs w:val="32"/>
        </w:rPr>
        <w:t>专任</w:t>
      </w:r>
      <w:r>
        <w:rPr>
          <w:rFonts w:ascii="仿宋" w:hAnsi="仿宋" w:eastAsia="仿宋" w:cs="宋体"/>
          <w:color w:val="000000"/>
          <w:kern w:val="0"/>
          <w:sz w:val="32"/>
          <w:szCs w:val="32"/>
        </w:rPr>
        <w:t>教师，具有丰富的教学经验和较高学术造诣</w:t>
      </w:r>
      <w:r>
        <w:rPr>
          <w:rFonts w:hint="eastAsia" w:ascii="仿宋" w:hAnsi="仿宋" w:eastAsia="仿宋" w:cs="宋体"/>
          <w:color w:val="000000"/>
          <w:kern w:val="0"/>
          <w:sz w:val="32"/>
          <w:szCs w:val="32"/>
        </w:rPr>
        <w:t>，具有博士学位或中级</w:t>
      </w:r>
      <w:r>
        <w:rPr>
          <w:rFonts w:hint="eastAsia" w:ascii="仿宋" w:hAnsi="仿宋" w:eastAsia="仿宋" w:cs="宋体"/>
          <w:color w:val="000000"/>
          <w:kern w:val="0"/>
          <w:sz w:val="32"/>
          <w:szCs w:val="32"/>
          <w:lang w:val="en-US" w:eastAsia="zh-CN"/>
        </w:rPr>
        <w:t>及以上</w:t>
      </w:r>
      <w:r>
        <w:rPr>
          <w:rFonts w:hint="eastAsia" w:ascii="仿宋" w:hAnsi="仿宋" w:eastAsia="仿宋" w:cs="宋体"/>
          <w:color w:val="000000"/>
          <w:kern w:val="0"/>
          <w:sz w:val="32"/>
          <w:szCs w:val="32"/>
        </w:rPr>
        <w:t>职称。高等学历继续教育课程负责人应为本校专任教师。</w:t>
      </w:r>
    </w:p>
    <w:p w14:paraId="06CB1579">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2.依托网络教学平台，提供完整教学资源，包含课程简介、教师队伍、教学大纲、授课教案、作业习题、资料库等。</w:t>
      </w:r>
      <w:r>
        <w:rPr>
          <w:rFonts w:ascii="仿宋" w:hAnsi="仿宋" w:eastAsia="仿宋" w:cs="宋体"/>
          <w:color w:val="000000"/>
          <w:kern w:val="0"/>
          <w:sz w:val="32"/>
          <w:szCs w:val="32"/>
        </w:rPr>
        <w:t>课程平台须按照《中国互联网管理条例》等规定，完成有关的备案和审批手续</w:t>
      </w:r>
      <w:r>
        <w:rPr>
          <w:rFonts w:hint="eastAsia" w:ascii="仿宋" w:hAnsi="仿宋" w:eastAsia="仿宋" w:cs="宋体"/>
          <w:color w:val="000000"/>
          <w:kern w:val="0"/>
          <w:sz w:val="32"/>
          <w:szCs w:val="32"/>
        </w:rPr>
        <w:t>。</w:t>
      </w:r>
    </w:p>
    <w:p w14:paraId="7E854A55">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3.课程申报负责人要承诺申报材料的真实性，</w:t>
      </w:r>
      <w:r>
        <w:rPr>
          <w:rFonts w:ascii="仿宋" w:hAnsi="仿宋" w:eastAsia="仿宋" w:cs="宋体"/>
          <w:color w:val="000000"/>
          <w:kern w:val="0"/>
          <w:sz w:val="32"/>
          <w:szCs w:val="32"/>
        </w:rPr>
        <w:t>课程内容规范完整，体现前沿性和时代性，反映学科专业最新发展成果和教改教研成果，具有较高的科学性，内容更新和完善及时。无危害国家安全、涉密及其他不适宜网络公开传播的内容，</w:t>
      </w:r>
      <w:r>
        <w:rPr>
          <w:rFonts w:hint="eastAsia" w:ascii="仿宋" w:hAnsi="仿宋" w:eastAsia="仿宋" w:cs="宋体"/>
          <w:color w:val="000000"/>
          <w:kern w:val="0"/>
          <w:sz w:val="32"/>
          <w:szCs w:val="32"/>
        </w:rPr>
        <w:t>引用的课程资源要注明来源，</w:t>
      </w:r>
      <w:r>
        <w:rPr>
          <w:rFonts w:ascii="仿宋" w:hAnsi="仿宋" w:eastAsia="仿宋" w:cs="宋体"/>
          <w:color w:val="000000"/>
          <w:kern w:val="0"/>
          <w:sz w:val="32"/>
          <w:szCs w:val="32"/>
        </w:rPr>
        <w:t>无侵犯他人知识产权内容。</w:t>
      </w:r>
    </w:p>
    <w:p w14:paraId="526A87B2">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4.为加大优质教学资源共享的力度，</w:t>
      </w:r>
      <w:r>
        <w:rPr>
          <w:rFonts w:ascii="仿宋" w:hAnsi="仿宋" w:eastAsia="仿宋" w:cs="宋体"/>
          <w:color w:val="000000"/>
          <w:kern w:val="0"/>
          <w:sz w:val="32"/>
          <w:szCs w:val="32"/>
        </w:rPr>
        <w:t>在线开放课程结题验收等级在合格及以上的项目，须继续建设与完善，自验收结果公布始面向社会开放并提供教学服务不少于5年。</w:t>
      </w:r>
    </w:p>
    <w:p w14:paraId="0B7EC9A3">
      <w:pPr>
        <w:widowControl/>
        <w:spacing w:line="560" w:lineRule="exact"/>
        <w:ind w:firstLine="643" w:firstLineChars="200"/>
        <w:rPr>
          <w:rFonts w:ascii="仿宋" w:hAnsi="仿宋" w:eastAsia="仿宋" w:cs="宋体"/>
          <w:b/>
          <w:bCs/>
          <w:kern w:val="0"/>
          <w:sz w:val="32"/>
          <w:szCs w:val="32"/>
        </w:rPr>
      </w:pPr>
      <w:r>
        <w:rPr>
          <w:rFonts w:hint="eastAsia" w:ascii="仿宋" w:hAnsi="仿宋" w:eastAsia="仿宋" w:cs="宋体"/>
          <w:b/>
          <w:bCs/>
          <w:kern w:val="0"/>
          <w:sz w:val="32"/>
          <w:szCs w:val="32"/>
        </w:rPr>
        <w:t>四、课程建设及验收</w:t>
      </w:r>
    </w:p>
    <w:p w14:paraId="1D3488B3">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课程建设达到安徽省精品在线开放课程标准（见表1）。</w:t>
      </w:r>
    </w:p>
    <w:p w14:paraId="11245033">
      <w:pPr>
        <w:widowControl/>
        <w:spacing w:line="560" w:lineRule="exact"/>
        <w:ind w:firstLine="560" w:firstLineChars="200"/>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精品在线开放课程结题验收标准</w:t>
      </w:r>
    </w:p>
    <w:tbl>
      <w:tblPr>
        <w:tblStyle w:val="14"/>
        <w:tblW w:w="83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468"/>
        <w:gridCol w:w="5657"/>
      </w:tblGrid>
      <w:tr w14:paraId="71A88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271" w:type="dxa"/>
            <w:tcBorders>
              <w:top w:val="single" w:color="auto" w:sz="12" w:space="0"/>
              <w:left w:val="single" w:color="auto" w:sz="12" w:space="0"/>
              <w:bottom w:val="single" w:color="auto" w:sz="8" w:space="0"/>
            </w:tcBorders>
            <w:vAlign w:val="center"/>
          </w:tcPr>
          <w:p w14:paraId="59344E33">
            <w:pPr>
              <w:adjustRightInd w:val="0"/>
              <w:snapToGrid w:val="0"/>
              <w:spacing w:line="560" w:lineRule="exact"/>
              <w:jc w:val="left"/>
              <w:rPr>
                <w:b/>
                <w:sz w:val="24"/>
              </w:rPr>
            </w:pPr>
            <w:r>
              <w:rPr>
                <w:rFonts w:hint="eastAsia"/>
                <w:b/>
                <w:sz w:val="24"/>
              </w:rPr>
              <w:t>一级指标</w:t>
            </w:r>
          </w:p>
        </w:tc>
        <w:tc>
          <w:tcPr>
            <w:tcW w:w="1468" w:type="dxa"/>
            <w:tcBorders>
              <w:top w:val="single" w:color="auto" w:sz="12" w:space="0"/>
              <w:bottom w:val="single" w:color="auto" w:sz="8" w:space="0"/>
            </w:tcBorders>
            <w:vAlign w:val="center"/>
          </w:tcPr>
          <w:p w14:paraId="788AEA9A">
            <w:pPr>
              <w:adjustRightInd w:val="0"/>
              <w:snapToGrid w:val="0"/>
              <w:spacing w:line="560" w:lineRule="exact"/>
              <w:jc w:val="left"/>
              <w:rPr>
                <w:b/>
                <w:sz w:val="24"/>
              </w:rPr>
            </w:pPr>
            <w:r>
              <w:rPr>
                <w:rFonts w:hint="eastAsia"/>
                <w:b/>
                <w:sz w:val="24"/>
              </w:rPr>
              <w:t>二级指标</w:t>
            </w:r>
          </w:p>
        </w:tc>
        <w:tc>
          <w:tcPr>
            <w:tcW w:w="5657" w:type="dxa"/>
            <w:tcBorders>
              <w:top w:val="single" w:color="auto" w:sz="12" w:space="0"/>
              <w:bottom w:val="single" w:color="auto" w:sz="8" w:space="0"/>
              <w:right w:val="single" w:color="auto" w:sz="12" w:space="0"/>
            </w:tcBorders>
            <w:vAlign w:val="center"/>
          </w:tcPr>
          <w:p w14:paraId="64810FB3">
            <w:pPr>
              <w:adjustRightInd w:val="0"/>
              <w:snapToGrid w:val="0"/>
              <w:spacing w:line="560" w:lineRule="exact"/>
              <w:ind w:firstLine="480" w:firstLineChars="200"/>
              <w:jc w:val="left"/>
              <w:rPr>
                <w:b/>
                <w:sz w:val="24"/>
              </w:rPr>
            </w:pPr>
            <w:r>
              <w:rPr>
                <w:rFonts w:hint="eastAsia"/>
                <w:b/>
                <w:sz w:val="24"/>
              </w:rPr>
              <w:t>评价标准</w:t>
            </w:r>
          </w:p>
        </w:tc>
      </w:tr>
      <w:tr w14:paraId="45691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atLeast"/>
          <w:jc w:val="center"/>
        </w:trPr>
        <w:tc>
          <w:tcPr>
            <w:tcW w:w="1271" w:type="dxa"/>
            <w:vMerge w:val="restart"/>
            <w:tcBorders>
              <w:top w:val="single" w:color="auto" w:sz="8" w:space="0"/>
              <w:left w:val="single" w:color="auto" w:sz="12" w:space="0"/>
            </w:tcBorders>
            <w:vAlign w:val="center"/>
          </w:tcPr>
          <w:p w14:paraId="5580CF4F">
            <w:pPr>
              <w:adjustRightInd w:val="0"/>
              <w:snapToGrid w:val="0"/>
              <w:spacing w:line="560" w:lineRule="exact"/>
              <w:jc w:val="left"/>
              <w:rPr>
                <w:b/>
              </w:rPr>
            </w:pPr>
            <w:r>
              <w:rPr>
                <w:rFonts w:hint="eastAsia"/>
                <w:b/>
                <w:sz w:val="24"/>
              </w:rPr>
              <w:t>课程建设</w:t>
            </w:r>
          </w:p>
        </w:tc>
        <w:tc>
          <w:tcPr>
            <w:tcW w:w="1468" w:type="dxa"/>
            <w:tcBorders>
              <w:top w:val="single" w:color="auto" w:sz="8" w:space="0"/>
            </w:tcBorders>
            <w:vAlign w:val="center"/>
          </w:tcPr>
          <w:p w14:paraId="291E2800">
            <w:pPr>
              <w:adjustRightInd w:val="0"/>
              <w:snapToGrid w:val="0"/>
              <w:spacing w:line="560" w:lineRule="exact"/>
              <w:jc w:val="left"/>
              <w:rPr>
                <w:b/>
                <w:sz w:val="22"/>
              </w:rPr>
            </w:pPr>
            <w:r>
              <w:rPr>
                <w:rFonts w:hint="eastAsia"/>
                <w:b/>
                <w:sz w:val="22"/>
              </w:rPr>
              <w:t>视频资源</w:t>
            </w:r>
          </w:p>
        </w:tc>
        <w:tc>
          <w:tcPr>
            <w:tcW w:w="5657" w:type="dxa"/>
            <w:tcBorders>
              <w:top w:val="single" w:color="auto" w:sz="8" w:space="0"/>
              <w:right w:val="single" w:color="auto" w:sz="12" w:space="0"/>
            </w:tcBorders>
            <w:vAlign w:val="center"/>
          </w:tcPr>
          <w:p w14:paraId="195FC2E2">
            <w:pPr>
              <w:adjustRightInd w:val="0"/>
              <w:snapToGrid w:val="0"/>
              <w:spacing w:line="560" w:lineRule="exact"/>
              <w:ind w:firstLine="420" w:firstLineChars="200"/>
              <w:jc w:val="left"/>
            </w:pPr>
            <w:r>
              <w:rPr>
                <w:rFonts w:hint="eastAsia"/>
              </w:rPr>
              <w:t>1、视频内容：课程视频内容包含课程教学大纲完整章节内容，教学内容科学、准确，弘扬社会主义核心价值观</w:t>
            </w:r>
          </w:p>
          <w:p w14:paraId="4ADB858A">
            <w:pPr>
              <w:adjustRightInd w:val="0"/>
              <w:snapToGrid w:val="0"/>
              <w:spacing w:line="560" w:lineRule="exact"/>
              <w:ind w:firstLine="420" w:firstLineChars="200"/>
              <w:jc w:val="left"/>
            </w:pPr>
            <w:r>
              <w:rPr>
                <w:rFonts w:hint="eastAsia"/>
              </w:rPr>
              <w:t>2、视频时长：总时长原则上</w:t>
            </w:r>
            <w:r>
              <w:rPr>
                <w:rFonts w:hint="eastAsia" w:ascii="宋体" w:hAnsi="宋体"/>
              </w:rPr>
              <w:t>≥</w:t>
            </w:r>
            <w:r>
              <w:t>12</w:t>
            </w:r>
            <w:r>
              <w:rPr>
                <w:rFonts w:hint="eastAsia"/>
              </w:rPr>
              <w:t>0分钟</w:t>
            </w:r>
          </w:p>
          <w:p w14:paraId="33E5A9C4">
            <w:pPr>
              <w:adjustRightInd w:val="0"/>
              <w:snapToGrid w:val="0"/>
              <w:spacing w:line="560" w:lineRule="exact"/>
              <w:ind w:firstLine="420" w:firstLineChars="200"/>
              <w:jc w:val="left"/>
            </w:pPr>
            <w:r>
              <w:rPr>
                <w:rFonts w:hint="eastAsia"/>
              </w:rPr>
              <w:t>3、技术规范：参照《安徽省MOOC示范项目课程建设规范及标准》执行</w:t>
            </w:r>
          </w:p>
          <w:p w14:paraId="1654A785">
            <w:pPr>
              <w:adjustRightInd w:val="0"/>
              <w:snapToGrid w:val="0"/>
              <w:spacing w:line="560" w:lineRule="exact"/>
              <w:ind w:firstLine="420" w:firstLineChars="200"/>
              <w:jc w:val="left"/>
            </w:pPr>
            <w:r>
              <w:rPr>
                <w:rFonts w:hint="eastAsia"/>
              </w:rPr>
              <w:t>4、知识产权：无侵权行为</w:t>
            </w:r>
          </w:p>
        </w:tc>
      </w:tr>
      <w:tr w14:paraId="6A44C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atLeast"/>
          <w:jc w:val="center"/>
        </w:trPr>
        <w:tc>
          <w:tcPr>
            <w:tcW w:w="1271" w:type="dxa"/>
            <w:vMerge w:val="continue"/>
            <w:tcBorders>
              <w:left w:val="single" w:color="auto" w:sz="12" w:space="0"/>
              <w:bottom w:val="single" w:color="auto" w:sz="8" w:space="0"/>
            </w:tcBorders>
          </w:tcPr>
          <w:p w14:paraId="67F8F009">
            <w:pPr>
              <w:adjustRightInd w:val="0"/>
              <w:snapToGrid w:val="0"/>
              <w:spacing w:line="560" w:lineRule="exact"/>
              <w:ind w:firstLine="420" w:firstLineChars="200"/>
              <w:jc w:val="left"/>
              <w:rPr>
                <w:b/>
              </w:rPr>
            </w:pPr>
          </w:p>
        </w:tc>
        <w:tc>
          <w:tcPr>
            <w:tcW w:w="1468" w:type="dxa"/>
            <w:tcBorders>
              <w:bottom w:val="single" w:color="auto" w:sz="8" w:space="0"/>
            </w:tcBorders>
            <w:vAlign w:val="center"/>
          </w:tcPr>
          <w:p w14:paraId="50F5AEA7">
            <w:pPr>
              <w:adjustRightInd w:val="0"/>
              <w:snapToGrid w:val="0"/>
              <w:spacing w:line="560" w:lineRule="exact"/>
              <w:jc w:val="left"/>
              <w:rPr>
                <w:b/>
                <w:sz w:val="22"/>
              </w:rPr>
            </w:pPr>
            <w:r>
              <w:rPr>
                <w:rFonts w:hint="eastAsia"/>
                <w:b/>
                <w:sz w:val="22"/>
              </w:rPr>
              <w:t>非视频资源</w:t>
            </w:r>
          </w:p>
        </w:tc>
        <w:tc>
          <w:tcPr>
            <w:tcW w:w="5657" w:type="dxa"/>
            <w:tcBorders>
              <w:bottom w:val="single" w:color="auto" w:sz="8" w:space="0"/>
              <w:right w:val="single" w:color="auto" w:sz="12" w:space="0"/>
            </w:tcBorders>
            <w:vAlign w:val="center"/>
          </w:tcPr>
          <w:p w14:paraId="4E94D171">
            <w:pPr>
              <w:adjustRightInd w:val="0"/>
              <w:snapToGrid w:val="0"/>
              <w:spacing w:line="560" w:lineRule="exact"/>
              <w:ind w:firstLine="420" w:firstLineChars="200"/>
              <w:jc w:val="left"/>
            </w:pPr>
            <w:r>
              <w:rPr>
                <w:rFonts w:hint="eastAsia"/>
              </w:rPr>
              <w:t>1、完备性：包含课程介绍、课程公告、教学大纲、课件、参考资料、讨论、测试和作业、考试等</w:t>
            </w:r>
          </w:p>
          <w:p w14:paraId="2CF8506B">
            <w:pPr>
              <w:adjustRightInd w:val="0"/>
              <w:snapToGrid w:val="0"/>
              <w:spacing w:line="560" w:lineRule="exact"/>
              <w:ind w:firstLine="420" w:firstLineChars="200"/>
              <w:jc w:val="left"/>
            </w:pPr>
            <w:r>
              <w:rPr>
                <w:rFonts w:hint="eastAsia"/>
              </w:rPr>
              <w:t>2、资源数量：非视频资源数量原则上</w:t>
            </w:r>
            <w:r>
              <w:rPr>
                <w:rFonts w:hint="eastAsia" w:ascii="宋体" w:hAnsi="宋体"/>
              </w:rPr>
              <w:t>≥</w:t>
            </w:r>
            <w:r>
              <w:rPr>
                <w:rFonts w:ascii="宋体" w:hAnsi="宋体"/>
              </w:rPr>
              <w:t>50</w:t>
            </w:r>
            <w:r>
              <w:rPr>
                <w:rFonts w:hint="eastAsia" w:ascii="宋体" w:hAnsi="宋体"/>
              </w:rPr>
              <w:t>个/周期</w:t>
            </w:r>
          </w:p>
          <w:p w14:paraId="6067C9ED">
            <w:pPr>
              <w:adjustRightInd w:val="0"/>
              <w:snapToGrid w:val="0"/>
              <w:spacing w:line="560" w:lineRule="exact"/>
              <w:ind w:firstLine="420" w:firstLineChars="200"/>
              <w:jc w:val="left"/>
            </w:pPr>
            <w:r>
              <w:rPr>
                <w:rFonts w:hint="eastAsia"/>
              </w:rPr>
              <w:t>3、技术规范：参照《安徽省MOOC示范项目课程建设规范及标准》执行</w:t>
            </w:r>
          </w:p>
          <w:p w14:paraId="03005445">
            <w:pPr>
              <w:adjustRightInd w:val="0"/>
              <w:snapToGrid w:val="0"/>
              <w:spacing w:line="560" w:lineRule="exact"/>
              <w:ind w:firstLine="420" w:firstLineChars="200"/>
              <w:jc w:val="left"/>
            </w:pPr>
            <w:r>
              <w:rPr>
                <w:rFonts w:hint="eastAsia"/>
              </w:rPr>
              <w:t>4、知识产权：无侵权行为</w:t>
            </w:r>
          </w:p>
        </w:tc>
      </w:tr>
      <w:tr w14:paraId="44D8F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271" w:type="dxa"/>
            <w:vMerge w:val="restart"/>
            <w:tcBorders>
              <w:top w:val="single" w:color="auto" w:sz="8" w:space="0"/>
              <w:left w:val="single" w:color="auto" w:sz="12" w:space="0"/>
            </w:tcBorders>
            <w:vAlign w:val="center"/>
          </w:tcPr>
          <w:p w14:paraId="60EC22B6">
            <w:pPr>
              <w:adjustRightInd w:val="0"/>
              <w:snapToGrid w:val="0"/>
              <w:spacing w:line="560" w:lineRule="exact"/>
              <w:ind w:firstLine="480" w:firstLineChars="200"/>
              <w:rPr>
                <w:b/>
                <w:sz w:val="24"/>
              </w:rPr>
            </w:pPr>
            <w:r>
              <w:rPr>
                <w:rFonts w:hint="eastAsia"/>
                <w:b/>
                <w:sz w:val="24"/>
              </w:rPr>
              <w:t>课程应用</w:t>
            </w:r>
          </w:p>
        </w:tc>
        <w:tc>
          <w:tcPr>
            <w:tcW w:w="1468" w:type="dxa"/>
            <w:tcBorders>
              <w:top w:val="single" w:color="auto" w:sz="8" w:space="0"/>
            </w:tcBorders>
            <w:vAlign w:val="center"/>
          </w:tcPr>
          <w:p w14:paraId="53FF2FB1">
            <w:pPr>
              <w:adjustRightInd w:val="0"/>
              <w:snapToGrid w:val="0"/>
              <w:spacing w:line="560" w:lineRule="exact"/>
              <w:rPr>
                <w:b/>
                <w:sz w:val="22"/>
              </w:rPr>
            </w:pPr>
            <w:r>
              <w:rPr>
                <w:rFonts w:hint="eastAsia"/>
                <w:b/>
                <w:sz w:val="22"/>
              </w:rPr>
              <w:t>运行平台及周期</w:t>
            </w:r>
          </w:p>
        </w:tc>
        <w:tc>
          <w:tcPr>
            <w:tcW w:w="5657" w:type="dxa"/>
            <w:tcBorders>
              <w:top w:val="single" w:color="auto" w:sz="8" w:space="0"/>
              <w:right w:val="single" w:color="auto" w:sz="12" w:space="0"/>
            </w:tcBorders>
            <w:vAlign w:val="center"/>
          </w:tcPr>
          <w:p w14:paraId="5FFAB0AA">
            <w:pPr>
              <w:adjustRightInd w:val="0"/>
              <w:snapToGrid w:val="0"/>
              <w:spacing w:line="560" w:lineRule="exact"/>
              <w:ind w:firstLine="420" w:firstLineChars="200"/>
            </w:pPr>
            <w:r>
              <w:rPr>
                <w:rFonts w:hint="eastAsia"/>
              </w:rPr>
              <w:t>1、在国内外主流网络课程平台上线，并至少运行2个完整教学周期</w:t>
            </w:r>
          </w:p>
        </w:tc>
      </w:tr>
      <w:tr w14:paraId="02A66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2" w:hRule="atLeast"/>
          <w:jc w:val="center"/>
        </w:trPr>
        <w:tc>
          <w:tcPr>
            <w:tcW w:w="1271" w:type="dxa"/>
            <w:vMerge w:val="continue"/>
            <w:tcBorders>
              <w:left w:val="single" w:color="auto" w:sz="12" w:space="0"/>
            </w:tcBorders>
          </w:tcPr>
          <w:p w14:paraId="6373001A">
            <w:pPr>
              <w:adjustRightInd w:val="0"/>
              <w:snapToGrid w:val="0"/>
              <w:spacing w:line="560" w:lineRule="exact"/>
              <w:ind w:firstLine="420" w:firstLineChars="200"/>
              <w:rPr>
                <w:b/>
              </w:rPr>
            </w:pPr>
          </w:p>
        </w:tc>
        <w:tc>
          <w:tcPr>
            <w:tcW w:w="1468" w:type="dxa"/>
            <w:vAlign w:val="center"/>
          </w:tcPr>
          <w:p w14:paraId="0B379AAC">
            <w:pPr>
              <w:adjustRightInd w:val="0"/>
              <w:snapToGrid w:val="0"/>
              <w:spacing w:line="560" w:lineRule="exact"/>
              <w:rPr>
                <w:b/>
                <w:sz w:val="22"/>
              </w:rPr>
            </w:pPr>
            <w:r>
              <w:rPr>
                <w:rFonts w:hint="eastAsia"/>
                <w:b/>
                <w:sz w:val="22"/>
              </w:rPr>
              <w:t>教学活动与指导</w:t>
            </w:r>
          </w:p>
        </w:tc>
        <w:tc>
          <w:tcPr>
            <w:tcW w:w="5657" w:type="dxa"/>
            <w:tcBorders>
              <w:right w:val="single" w:color="auto" w:sz="12" w:space="0"/>
            </w:tcBorders>
            <w:vAlign w:val="center"/>
          </w:tcPr>
          <w:p w14:paraId="45F7B6F3">
            <w:pPr>
              <w:adjustRightInd w:val="0"/>
              <w:snapToGrid w:val="0"/>
              <w:spacing w:line="560" w:lineRule="exact"/>
              <w:ind w:firstLine="420" w:firstLineChars="200"/>
            </w:pPr>
            <w:r>
              <w:rPr>
                <w:rFonts w:hint="eastAsia"/>
              </w:rPr>
              <w:t>基于网络课程平台，教师为学习者提供测验、作业、考试、答疑、讨论等教学组织活动，及时开展在线指导与测评。各项教学活动完整、有效，按计划实施，师生互动充分，能有效促进师生之间、学生之间进行资源共享、互动交流和自主式与协作式学习。在</w:t>
            </w:r>
            <w:r>
              <w:rPr>
                <w:rFonts w:hint="eastAsia"/>
                <w:b/>
              </w:rPr>
              <w:t>一个教学周期</w:t>
            </w:r>
            <w:r>
              <w:rPr>
                <w:rFonts w:hint="eastAsia"/>
              </w:rPr>
              <w:t>内，课程数据原则上应满足如下要求：</w:t>
            </w:r>
          </w:p>
          <w:p w14:paraId="4C937304">
            <w:pPr>
              <w:adjustRightInd w:val="0"/>
              <w:snapToGrid w:val="0"/>
              <w:spacing w:before="93" w:beforeLines="30" w:line="560" w:lineRule="exact"/>
              <w:ind w:firstLine="420" w:firstLineChars="200"/>
            </w:pPr>
            <w:r>
              <w:rPr>
                <w:rFonts w:hint="eastAsia"/>
              </w:rPr>
              <w:t>1、</w:t>
            </w:r>
            <w:r>
              <w:rPr>
                <w:rFonts w:hint="eastAsia"/>
                <w:b/>
              </w:rPr>
              <w:t>课程公告：</w:t>
            </w:r>
            <w:r>
              <w:rPr>
                <w:rFonts w:hint="eastAsia"/>
              </w:rPr>
              <w:t>次数</w:t>
            </w:r>
            <w:r>
              <w:rPr>
                <w:rFonts w:hint="eastAsia" w:ascii="宋体" w:hAnsi="宋体"/>
              </w:rPr>
              <w:t>≥</w:t>
            </w:r>
            <w:r>
              <w:rPr>
                <w:rFonts w:hint="eastAsia"/>
              </w:rPr>
              <w:t>10次</w:t>
            </w:r>
          </w:p>
          <w:p w14:paraId="1215AEBD">
            <w:pPr>
              <w:adjustRightInd w:val="0"/>
              <w:snapToGrid w:val="0"/>
              <w:spacing w:line="560" w:lineRule="exact"/>
              <w:ind w:firstLine="420" w:firstLineChars="200"/>
            </w:pPr>
            <w:r>
              <w:rPr>
                <w:rFonts w:hint="eastAsia"/>
              </w:rPr>
              <w:t>2、</w:t>
            </w:r>
            <w:r>
              <w:rPr>
                <w:rFonts w:hint="eastAsia"/>
                <w:b/>
              </w:rPr>
              <w:t>测验和作业</w:t>
            </w:r>
            <w:r>
              <w:rPr>
                <w:rFonts w:hint="eastAsia"/>
              </w:rPr>
              <w:t>：总次数</w:t>
            </w:r>
            <w:r>
              <w:rPr>
                <w:rFonts w:hint="eastAsia" w:ascii="宋体" w:hAnsi="宋体"/>
              </w:rPr>
              <w:t>≥</w:t>
            </w:r>
            <w:r>
              <w:rPr>
                <w:rFonts w:hint="eastAsia"/>
              </w:rPr>
              <w:t>30次；总参与人</w:t>
            </w:r>
            <w:r>
              <w:t>次</w:t>
            </w:r>
            <w:r>
              <w:rPr>
                <w:rFonts w:hint="eastAsia" w:ascii="宋体" w:hAnsi="宋体"/>
              </w:rPr>
              <w:t>≥100</w:t>
            </w:r>
            <w:r>
              <w:rPr>
                <w:rFonts w:hint="eastAsia"/>
              </w:rPr>
              <w:t>0人</w:t>
            </w:r>
          </w:p>
          <w:p w14:paraId="038C94EB">
            <w:pPr>
              <w:adjustRightInd w:val="0"/>
              <w:snapToGrid w:val="0"/>
              <w:spacing w:line="560" w:lineRule="exact"/>
              <w:ind w:firstLine="420" w:firstLineChars="200"/>
            </w:pPr>
            <w:r>
              <w:rPr>
                <w:rFonts w:hint="eastAsia"/>
              </w:rPr>
              <w:t>3、</w:t>
            </w:r>
            <w:r>
              <w:rPr>
                <w:rFonts w:hint="eastAsia"/>
                <w:b/>
              </w:rPr>
              <w:t>互动与讨论</w:t>
            </w:r>
            <w:r>
              <w:rPr>
                <w:rFonts w:hint="eastAsia"/>
              </w:rPr>
              <w:t>：教师发帖数</w:t>
            </w:r>
            <w:r>
              <w:rPr>
                <w:rFonts w:hint="eastAsia" w:ascii="宋体" w:hAnsi="宋体"/>
              </w:rPr>
              <w:t>≥3</w:t>
            </w:r>
            <w:r>
              <w:rPr>
                <w:rFonts w:hint="eastAsia"/>
              </w:rPr>
              <w:t>0帖；发帖总数</w:t>
            </w:r>
            <w:r>
              <w:rPr>
                <w:rFonts w:hint="eastAsia" w:ascii="宋体" w:hAnsi="宋体"/>
              </w:rPr>
              <w:t>≥10</w:t>
            </w:r>
            <w:r>
              <w:rPr>
                <w:rFonts w:hint="eastAsia"/>
              </w:rPr>
              <w:t>0帖；总参与人</w:t>
            </w:r>
            <w:r>
              <w:t>次</w:t>
            </w:r>
            <w:r>
              <w:rPr>
                <w:rFonts w:hint="eastAsia" w:ascii="宋体" w:hAnsi="宋体"/>
              </w:rPr>
              <w:t>≥40</w:t>
            </w:r>
            <w:r>
              <w:rPr>
                <w:rFonts w:hint="eastAsia"/>
              </w:rPr>
              <w:t>0人</w:t>
            </w:r>
          </w:p>
          <w:p w14:paraId="2A4250BE">
            <w:pPr>
              <w:adjustRightInd w:val="0"/>
              <w:snapToGrid w:val="0"/>
              <w:spacing w:line="560" w:lineRule="exact"/>
              <w:ind w:firstLine="420" w:firstLineChars="200"/>
            </w:pPr>
            <w:r>
              <w:rPr>
                <w:rFonts w:hint="eastAsia"/>
              </w:rPr>
              <w:t>4、</w:t>
            </w:r>
            <w:r>
              <w:rPr>
                <w:rFonts w:hint="eastAsia"/>
                <w:b/>
              </w:rPr>
              <w:t>考试</w:t>
            </w:r>
            <w:r>
              <w:rPr>
                <w:rFonts w:hint="eastAsia"/>
              </w:rPr>
              <w:t>：次数</w:t>
            </w:r>
            <w:r>
              <w:rPr>
                <w:rFonts w:hint="eastAsia" w:ascii="宋体" w:hAnsi="宋体"/>
              </w:rPr>
              <w:t>≥</w:t>
            </w:r>
            <w:r>
              <w:rPr>
                <w:rFonts w:hint="eastAsia"/>
              </w:rPr>
              <w:t>1次；总参与人次</w:t>
            </w:r>
            <w:r>
              <w:rPr>
                <w:rFonts w:hint="eastAsia" w:ascii="宋体" w:hAnsi="宋体"/>
              </w:rPr>
              <w:t>≥20</w:t>
            </w:r>
            <w:r>
              <w:rPr>
                <w:rFonts w:hint="eastAsia"/>
              </w:rPr>
              <w:t>0人</w:t>
            </w:r>
          </w:p>
        </w:tc>
      </w:tr>
      <w:tr w14:paraId="6CF65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5" w:hRule="atLeast"/>
          <w:jc w:val="center"/>
        </w:trPr>
        <w:tc>
          <w:tcPr>
            <w:tcW w:w="1271" w:type="dxa"/>
            <w:vMerge w:val="continue"/>
            <w:tcBorders>
              <w:left w:val="single" w:color="auto" w:sz="12" w:space="0"/>
              <w:bottom w:val="single" w:color="auto" w:sz="12" w:space="0"/>
            </w:tcBorders>
          </w:tcPr>
          <w:p w14:paraId="5DAA47A0">
            <w:pPr>
              <w:adjustRightInd w:val="0"/>
              <w:snapToGrid w:val="0"/>
              <w:spacing w:line="560" w:lineRule="exact"/>
              <w:ind w:firstLine="420" w:firstLineChars="200"/>
              <w:rPr>
                <w:b/>
              </w:rPr>
            </w:pPr>
          </w:p>
        </w:tc>
        <w:tc>
          <w:tcPr>
            <w:tcW w:w="1468" w:type="dxa"/>
            <w:tcBorders>
              <w:bottom w:val="single" w:color="auto" w:sz="12" w:space="0"/>
            </w:tcBorders>
            <w:vAlign w:val="center"/>
          </w:tcPr>
          <w:p w14:paraId="39216CE2">
            <w:pPr>
              <w:adjustRightInd w:val="0"/>
              <w:snapToGrid w:val="0"/>
              <w:spacing w:line="560" w:lineRule="exact"/>
              <w:rPr>
                <w:b/>
                <w:sz w:val="22"/>
              </w:rPr>
            </w:pPr>
            <w:r>
              <w:rPr>
                <w:rFonts w:hint="eastAsia"/>
                <w:b/>
                <w:sz w:val="22"/>
              </w:rPr>
              <w:t>教学效果与影响</w:t>
            </w:r>
          </w:p>
        </w:tc>
        <w:tc>
          <w:tcPr>
            <w:tcW w:w="5657" w:type="dxa"/>
            <w:tcBorders>
              <w:bottom w:val="single" w:color="auto" w:sz="12" w:space="0"/>
              <w:right w:val="single" w:color="auto" w:sz="12" w:space="0"/>
            </w:tcBorders>
            <w:vAlign w:val="center"/>
          </w:tcPr>
          <w:p w14:paraId="3B3FD4F7">
            <w:pPr>
              <w:adjustRightInd w:val="0"/>
              <w:snapToGrid w:val="0"/>
              <w:spacing w:line="560" w:lineRule="exact"/>
              <w:ind w:firstLine="420" w:firstLineChars="200"/>
            </w:pPr>
            <w:r>
              <w:rPr>
                <w:rFonts w:hint="eastAsia"/>
              </w:rPr>
              <w:t>课程共享范围广泛，应用模式多样，线上线下应用结合效果较好，能切实提高教学质量，在同类课程中具有一定的影响力。教学效果与影响应满足如下要求：</w:t>
            </w:r>
          </w:p>
          <w:p w14:paraId="08CD95AA">
            <w:pPr>
              <w:adjustRightInd w:val="0"/>
              <w:snapToGrid w:val="0"/>
              <w:spacing w:before="93" w:beforeLines="30" w:line="560" w:lineRule="exact"/>
              <w:ind w:firstLine="420" w:firstLineChars="200"/>
              <w:rPr>
                <w:sz w:val="22"/>
              </w:rPr>
            </w:pPr>
            <w:r>
              <w:rPr>
                <w:rFonts w:hint="eastAsia"/>
              </w:rPr>
              <w:t>1、原则上</w:t>
            </w:r>
            <w:r>
              <w:rPr>
                <w:rFonts w:hint="eastAsia"/>
                <w:b/>
              </w:rPr>
              <w:t>学习总人次</w:t>
            </w:r>
            <w:r>
              <w:rPr>
                <w:rFonts w:hint="eastAsia" w:ascii="宋体" w:hAnsi="宋体"/>
                <w:sz w:val="20"/>
              </w:rPr>
              <w:t>≥</w:t>
            </w:r>
            <w:r>
              <w:rPr>
                <w:rFonts w:hint="eastAsia"/>
              </w:rPr>
              <w:t>1000人（多个教学周期累加）</w:t>
            </w:r>
          </w:p>
          <w:p w14:paraId="756169D3">
            <w:pPr>
              <w:adjustRightInd w:val="0"/>
              <w:snapToGrid w:val="0"/>
              <w:spacing w:line="560" w:lineRule="exact"/>
              <w:ind w:firstLine="440" w:firstLineChars="200"/>
              <w:rPr>
                <w:sz w:val="22"/>
              </w:rPr>
            </w:pPr>
            <w:r>
              <w:rPr>
                <w:rFonts w:hint="eastAsia"/>
                <w:sz w:val="22"/>
              </w:rPr>
              <w:t>2、课程应用模式多样，除在线学习外，还应用于翻转教学、SPOC教学等</w:t>
            </w:r>
          </w:p>
          <w:p w14:paraId="39417DD2">
            <w:pPr>
              <w:adjustRightInd w:val="0"/>
              <w:snapToGrid w:val="0"/>
              <w:spacing w:line="560" w:lineRule="exact"/>
              <w:ind w:firstLine="420" w:firstLineChars="200"/>
            </w:pPr>
            <w:r>
              <w:rPr>
                <w:rFonts w:hint="eastAsia"/>
              </w:rPr>
              <w:t>3、课程共享范围广，除社会学习者外，在别的高校也获得应用</w:t>
            </w:r>
          </w:p>
        </w:tc>
      </w:tr>
    </w:tbl>
    <w:p w14:paraId="4C7BC9B1">
      <w:pPr>
        <w:widowControl/>
        <w:spacing w:line="560" w:lineRule="exact"/>
        <w:ind w:firstLine="640" w:firstLineChars="200"/>
        <w:rPr>
          <w:rFonts w:ascii="仿宋_GB2312" w:hAnsi="仿宋" w:eastAsia="仿宋_GB2312" w:cs="宋体"/>
          <w:kern w:val="0"/>
          <w:sz w:val="32"/>
          <w:szCs w:val="32"/>
        </w:rPr>
      </w:pPr>
    </w:p>
    <w:p w14:paraId="2C7A524D">
      <w:pPr>
        <w:pStyle w:val="3"/>
        <w:outlineLvl w:val="1"/>
        <w:rPr>
          <w:rFonts w:ascii="仿宋" w:hAnsi="仿宋" w:eastAsia="仿宋"/>
          <w:bCs w:val="0"/>
          <w:kern w:val="0"/>
          <w:sz w:val="32"/>
          <w:szCs w:val="32"/>
        </w:rPr>
      </w:pPr>
      <w:bookmarkStart w:id="13" w:name="_Toc121316386"/>
      <w:bookmarkStart w:id="14" w:name="_Toc17186"/>
      <w:bookmarkStart w:id="15" w:name="_Toc29932"/>
      <w:bookmarkStart w:id="16" w:name="_Toc7260"/>
      <w:r>
        <w:rPr>
          <w:rFonts w:hint="eastAsia" w:ascii="仿宋" w:hAnsi="仿宋" w:eastAsia="仿宋"/>
          <w:bCs w:val="0"/>
          <w:kern w:val="0"/>
          <w:sz w:val="32"/>
          <w:szCs w:val="32"/>
        </w:rPr>
        <w:t>1-2线下课程</w:t>
      </w:r>
      <w:bookmarkEnd w:id="13"/>
      <w:bookmarkEnd w:id="14"/>
      <w:bookmarkEnd w:id="15"/>
      <w:bookmarkEnd w:id="16"/>
    </w:p>
    <w:p w14:paraId="2BEA8DF9">
      <w:pPr>
        <w:widowControl/>
        <w:spacing w:line="560" w:lineRule="exact"/>
        <w:ind w:firstLine="643" w:firstLineChars="200"/>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一、建设目标</w:t>
      </w:r>
    </w:p>
    <w:p w14:paraId="44886D1D">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利用开放式课程教育平台优质课程资源及学校自建资源，通过校级网络教学平台及智慧教学工具，</w:t>
      </w:r>
      <w:r>
        <w:rPr>
          <w:rFonts w:ascii="仿宋" w:hAnsi="仿宋" w:eastAsia="仿宋" w:cs="宋体"/>
          <w:color w:val="000000"/>
          <w:kern w:val="0"/>
          <w:sz w:val="32"/>
          <w:szCs w:val="32"/>
        </w:rPr>
        <w:t>实施翻转课堂教学</w:t>
      </w:r>
      <w:r>
        <w:rPr>
          <w:rFonts w:hint="eastAsia" w:ascii="仿宋" w:hAnsi="仿宋" w:eastAsia="仿宋" w:cs="宋体"/>
          <w:color w:val="000000"/>
          <w:kern w:val="0"/>
          <w:sz w:val="32"/>
          <w:szCs w:val="32"/>
        </w:rPr>
        <w:t>，</w:t>
      </w:r>
      <w:r>
        <w:rPr>
          <w:rFonts w:ascii="仿宋" w:hAnsi="仿宋" w:eastAsia="仿宋" w:cs="宋体"/>
          <w:color w:val="000000"/>
          <w:kern w:val="0"/>
          <w:sz w:val="32"/>
          <w:szCs w:val="32"/>
        </w:rPr>
        <w:t>促进教育教学观念转变，引领教学内容和教学方法改革，推动高等学校优质课程教学资源通过现代信息技术手段共建共享，提高人才培养质量，服务学习型社会建设。</w:t>
      </w:r>
    </w:p>
    <w:p w14:paraId="0091151A">
      <w:pPr>
        <w:widowControl/>
        <w:spacing w:line="560" w:lineRule="exact"/>
        <w:ind w:firstLine="643" w:firstLineChars="200"/>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二、 建设要求</w:t>
      </w:r>
    </w:p>
    <w:p w14:paraId="2D54B045">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1.资源：鼓励教师利用国家级、省级精品资源共享课程资源，鼓励高校和企业共同开发建设体现科技进步、社会生产与职业需求的微视频。依托网络平台，利用视频资源开展翻转课堂。</w:t>
      </w:r>
    </w:p>
    <w:p w14:paraId="38169C04">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2.平台数据：线上学习数据，包括学生利用网络教学平台学习各种课程相关资源数据。线下互动数据，利用智慧教学工具，记录课堂教学过程中互动教学数据，包括签到、讨论等。</w:t>
      </w:r>
    </w:p>
    <w:p w14:paraId="4A30DC0B">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 xml:space="preserve">申报课程可在多个平台开课，多个平台的有关数据可按平台分别提供“课程数据信息表”。 </w:t>
      </w:r>
    </w:p>
    <w:p w14:paraId="19F81818">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3.团队建设：团队应包括主讲、在线教学人员，既确保课程学术性又考虑技术性，充分做好网络教学设计与在线教学过程的互动交流。</w:t>
      </w:r>
    </w:p>
    <w:p w14:paraId="35EC4F1F">
      <w:pPr>
        <w:widowControl/>
        <w:spacing w:line="560" w:lineRule="exact"/>
        <w:ind w:firstLine="643" w:firstLineChars="200"/>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三、申报范围</w:t>
      </w:r>
    </w:p>
    <w:p w14:paraId="7607DC83">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申报课程必须是普通高等学校本科课程或高等学历继续教育课程。申报的课程原则上要求是公共基础课、专业基础课或专业核心课，在高等学校已连续开设3个教学周期以上；课程负责人为本校专职教师，具有博士学位或中级</w:t>
      </w:r>
      <w:r>
        <w:rPr>
          <w:rFonts w:hint="eastAsia" w:ascii="仿宋" w:hAnsi="仿宋" w:eastAsia="仿宋" w:cs="宋体"/>
          <w:color w:val="000000"/>
          <w:kern w:val="0"/>
          <w:sz w:val="32"/>
          <w:szCs w:val="32"/>
          <w:lang w:val="en-US" w:eastAsia="zh-CN"/>
        </w:rPr>
        <w:t>及以上</w:t>
      </w:r>
      <w:r>
        <w:rPr>
          <w:rFonts w:hint="eastAsia" w:ascii="仿宋" w:hAnsi="仿宋" w:eastAsia="仿宋" w:cs="宋体"/>
          <w:color w:val="000000"/>
          <w:kern w:val="0"/>
          <w:sz w:val="32"/>
          <w:szCs w:val="32"/>
        </w:rPr>
        <w:t>职称。高等学历继续教育课程负责人应为本校专任教师。</w:t>
      </w:r>
    </w:p>
    <w:p w14:paraId="75FA2B15">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2.依托网络教学平台，提供教学资源，包含课程简介、教师队伍、教学大纲、授课教案、作业习题、资料库等。</w:t>
      </w:r>
    </w:p>
    <w:p w14:paraId="0768BAB2">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3.课程申报负责人要承诺申报材料的真实性，引用的课程资源要注明来源，上网内容不侵犯他人的知识产权。</w:t>
      </w:r>
    </w:p>
    <w:p w14:paraId="382EE965">
      <w:pPr>
        <w:widowControl/>
        <w:spacing w:line="560" w:lineRule="exact"/>
        <w:ind w:firstLine="643" w:firstLineChars="200"/>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四、精品线下开放课程验收</w:t>
      </w:r>
    </w:p>
    <w:p w14:paraId="72C15AB3">
      <w:pPr>
        <w:widowControl/>
        <w:spacing w:line="560" w:lineRule="exact"/>
        <w:ind w:firstLine="560" w:firstLineChars="200"/>
        <w:jc w:val="center"/>
        <w:rPr>
          <w:rFonts w:ascii="仿宋_GB2312" w:hAnsi="宋体" w:eastAsia="仿宋_GB2312"/>
          <w:sz w:val="32"/>
          <w:szCs w:val="32"/>
        </w:rPr>
      </w:pPr>
      <w:r>
        <w:rPr>
          <w:rFonts w:hint="eastAsia" w:ascii="仿宋_GB2312" w:hAnsi="宋体" w:eastAsia="仿宋_GB2312" w:cs="宋体"/>
          <w:color w:val="000000"/>
          <w:kern w:val="0"/>
          <w:sz w:val="28"/>
          <w:szCs w:val="28"/>
        </w:rPr>
        <w:t>精品线下开放课程</w:t>
      </w:r>
      <w:r>
        <w:rPr>
          <w:rFonts w:hint="eastAsia" w:ascii="仿宋_GB2312" w:hAnsi="宋体" w:eastAsia="仿宋_GB2312" w:cs="宋体"/>
          <w:kern w:val="0"/>
          <w:sz w:val="28"/>
          <w:szCs w:val="28"/>
        </w:rPr>
        <w:t>结题验收标准</w:t>
      </w:r>
    </w:p>
    <w:tbl>
      <w:tblPr>
        <w:tblStyle w:val="14"/>
        <w:tblW w:w="7847"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8"/>
        <w:gridCol w:w="1738"/>
        <w:gridCol w:w="4421"/>
      </w:tblGrid>
      <w:tr w14:paraId="0E670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8" w:type="dxa"/>
          </w:tcPr>
          <w:p w14:paraId="4C47D54E">
            <w:pPr>
              <w:adjustRightInd w:val="0"/>
              <w:snapToGrid w:val="0"/>
              <w:spacing w:line="560" w:lineRule="exact"/>
              <w:ind w:firstLine="480" w:firstLineChars="200"/>
              <w:jc w:val="center"/>
              <w:rPr>
                <w:b/>
                <w:sz w:val="24"/>
              </w:rPr>
            </w:pPr>
            <w:r>
              <w:rPr>
                <w:rFonts w:hint="eastAsia"/>
                <w:b/>
                <w:sz w:val="24"/>
              </w:rPr>
              <w:t>一级指标</w:t>
            </w:r>
          </w:p>
        </w:tc>
        <w:tc>
          <w:tcPr>
            <w:tcW w:w="1738" w:type="dxa"/>
          </w:tcPr>
          <w:p w14:paraId="785090E6">
            <w:pPr>
              <w:adjustRightInd w:val="0"/>
              <w:snapToGrid w:val="0"/>
              <w:spacing w:line="560" w:lineRule="exact"/>
              <w:ind w:firstLine="480" w:firstLineChars="200"/>
              <w:jc w:val="center"/>
              <w:rPr>
                <w:b/>
                <w:sz w:val="24"/>
              </w:rPr>
            </w:pPr>
            <w:r>
              <w:rPr>
                <w:rFonts w:hint="eastAsia"/>
                <w:b/>
                <w:sz w:val="24"/>
              </w:rPr>
              <w:t>二级指标</w:t>
            </w:r>
          </w:p>
        </w:tc>
        <w:tc>
          <w:tcPr>
            <w:tcW w:w="4421" w:type="dxa"/>
          </w:tcPr>
          <w:p w14:paraId="0E16694C">
            <w:pPr>
              <w:adjustRightInd w:val="0"/>
              <w:snapToGrid w:val="0"/>
              <w:spacing w:line="560" w:lineRule="exact"/>
              <w:ind w:firstLine="480" w:firstLineChars="200"/>
              <w:jc w:val="center"/>
              <w:rPr>
                <w:b/>
                <w:sz w:val="24"/>
              </w:rPr>
            </w:pPr>
            <w:r>
              <w:rPr>
                <w:rFonts w:hint="eastAsia"/>
                <w:b/>
                <w:sz w:val="24"/>
              </w:rPr>
              <w:t>评价标准</w:t>
            </w:r>
          </w:p>
        </w:tc>
      </w:tr>
      <w:tr w14:paraId="1FADA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8" w:type="dxa"/>
            <w:vMerge w:val="restart"/>
          </w:tcPr>
          <w:p w14:paraId="7EBBA061">
            <w:pPr>
              <w:adjustRightInd w:val="0"/>
              <w:snapToGrid w:val="0"/>
              <w:spacing w:line="560" w:lineRule="exact"/>
              <w:ind w:firstLine="480" w:firstLineChars="200"/>
              <w:jc w:val="center"/>
              <w:rPr>
                <w:b/>
                <w:sz w:val="24"/>
              </w:rPr>
            </w:pPr>
            <w:r>
              <w:rPr>
                <w:rFonts w:hint="eastAsia"/>
                <w:b/>
                <w:sz w:val="24"/>
              </w:rPr>
              <w:t>课程建设</w:t>
            </w:r>
          </w:p>
        </w:tc>
        <w:tc>
          <w:tcPr>
            <w:tcW w:w="1738" w:type="dxa"/>
          </w:tcPr>
          <w:p w14:paraId="0E15A5EE">
            <w:pPr>
              <w:adjustRightInd w:val="0"/>
              <w:snapToGrid w:val="0"/>
              <w:spacing w:line="560" w:lineRule="exact"/>
              <w:jc w:val="center"/>
              <w:rPr>
                <w:b/>
                <w:sz w:val="24"/>
              </w:rPr>
            </w:pPr>
            <w:r>
              <w:rPr>
                <w:rFonts w:hint="eastAsia"/>
                <w:b/>
                <w:sz w:val="24"/>
              </w:rPr>
              <w:t>非视频资源</w:t>
            </w:r>
          </w:p>
        </w:tc>
        <w:tc>
          <w:tcPr>
            <w:tcW w:w="4421" w:type="dxa"/>
          </w:tcPr>
          <w:p w14:paraId="4E4A8453">
            <w:pPr>
              <w:adjustRightInd w:val="0"/>
              <w:snapToGrid w:val="0"/>
              <w:spacing w:line="560" w:lineRule="exact"/>
              <w:ind w:firstLine="420" w:firstLineChars="200"/>
              <w:jc w:val="center"/>
            </w:pPr>
            <w:r>
              <w:rPr>
                <w:rFonts w:hint="eastAsia"/>
              </w:rPr>
              <w:t>网络平台包含完整教学资料，课程介绍，课程公告，教学大纲，模块描述，课件，参考资料，讨论，测试，作业、考试等。课程拓展资源，每学分不低于3个。</w:t>
            </w:r>
          </w:p>
        </w:tc>
      </w:tr>
      <w:tr w14:paraId="5A196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8" w:type="dxa"/>
            <w:vMerge w:val="continue"/>
          </w:tcPr>
          <w:p w14:paraId="22D2932C">
            <w:pPr>
              <w:adjustRightInd w:val="0"/>
              <w:snapToGrid w:val="0"/>
              <w:spacing w:line="560" w:lineRule="exact"/>
              <w:ind w:firstLine="420" w:firstLineChars="200"/>
              <w:jc w:val="center"/>
            </w:pPr>
          </w:p>
        </w:tc>
        <w:tc>
          <w:tcPr>
            <w:tcW w:w="1738" w:type="dxa"/>
          </w:tcPr>
          <w:p w14:paraId="05CA98FD">
            <w:pPr>
              <w:adjustRightInd w:val="0"/>
              <w:snapToGrid w:val="0"/>
              <w:spacing w:line="560" w:lineRule="exact"/>
              <w:jc w:val="center"/>
            </w:pPr>
            <w:r>
              <w:rPr>
                <w:rFonts w:hint="eastAsia"/>
                <w:b/>
                <w:sz w:val="24"/>
              </w:rPr>
              <w:t>视频资源</w:t>
            </w:r>
          </w:p>
        </w:tc>
        <w:tc>
          <w:tcPr>
            <w:tcW w:w="4421" w:type="dxa"/>
          </w:tcPr>
          <w:p w14:paraId="17062242">
            <w:pPr>
              <w:adjustRightInd w:val="0"/>
              <w:snapToGrid w:val="0"/>
              <w:spacing w:line="560" w:lineRule="exact"/>
              <w:ind w:firstLine="420" w:firstLineChars="200"/>
              <w:jc w:val="center"/>
            </w:pPr>
            <w:r>
              <w:rPr>
                <w:rFonts w:hint="eastAsia"/>
              </w:rPr>
              <w:t>利用国家级、省级精品课程或自建网络资源，利用网络教学平台，每学分需提供不低于40分钟的视频学习量，供学生自主学习，能通过网络平台检测每位学生学习量及学习效果，并在课堂教学中对学生自主学习部分进行检测。</w:t>
            </w:r>
          </w:p>
        </w:tc>
      </w:tr>
      <w:tr w14:paraId="48DBE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8" w:type="dxa"/>
            <w:vMerge w:val="restart"/>
          </w:tcPr>
          <w:p w14:paraId="72177892">
            <w:pPr>
              <w:adjustRightInd w:val="0"/>
              <w:snapToGrid w:val="0"/>
              <w:spacing w:line="560" w:lineRule="exact"/>
              <w:ind w:firstLine="480" w:firstLineChars="200"/>
              <w:rPr>
                <w:b/>
                <w:sz w:val="24"/>
              </w:rPr>
            </w:pPr>
            <w:r>
              <w:rPr>
                <w:rFonts w:hint="eastAsia"/>
                <w:b/>
                <w:sz w:val="24"/>
              </w:rPr>
              <w:t>课程应用</w:t>
            </w:r>
          </w:p>
        </w:tc>
        <w:tc>
          <w:tcPr>
            <w:tcW w:w="1738" w:type="dxa"/>
          </w:tcPr>
          <w:p w14:paraId="5CD24808">
            <w:pPr>
              <w:adjustRightInd w:val="0"/>
              <w:snapToGrid w:val="0"/>
              <w:spacing w:line="560" w:lineRule="exact"/>
              <w:rPr>
                <w:b/>
                <w:sz w:val="24"/>
              </w:rPr>
            </w:pPr>
            <w:r>
              <w:rPr>
                <w:rFonts w:hint="eastAsia"/>
                <w:b/>
                <w:sz w:val="24"/>
              </w:rPr>
              <w:t>运行平台及周期</w:t>
            </w:r>
          </w:p>
        </w:tc>
        <w:tc>
          <w:tcPr>
            <w:tcW w:w="4421" w:type="dxa"/>
          </w:tcPr>
          <w:p w14:paraId="53A328F5">
            <w:pPr>
              <w:adjustRightInd w:val="0"/>
              <w:snapToGrid w:val="0"/>
              <w:spacing w:line="560" w:lineRule="exact"/>
              <w:ind w:firstLine="420" w:firstLineChars="200"/>
            </w:pPr>
            <w:r>
              <w:rPr>
                <w:rFonts w:hint="eastAsia"/>
              </w:rPr>
              <w:t>至少在校内网络平台运行1学期，并向学校提出申请，请专家现场考核鉴定。</w:t>
            </w:r>
          </w:p>
        </w:tc>
      </w:tr>
      <w:tr w14:paraId="69F66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8" w:type="dxa"/>
            <w:vMerge w:val="continue"/>
          </w:tcPr>
          <w:p w14:paraId="0023D1E2">
            <w:pPr>
              <w:adjustRightInd w:val="0"/>
              <w:snapToGrid w:val="0"/>
              <w:spacing w:line="560" w:lineRule="exact"/>
              <w:ind w:firstLine="480" w:firstLineChars="200"/>
              <w:rPr>
                <w:b/>
                <w:sz w:val="24"/>
              </w:rPr>
            </w:pPr>
          </w:p>
        </w:tc>
        <w:tc>
          <w:tcPr>
            <w:tcW w:w="1738" w:type="dxa"/>
            <w:vMerge w:val="restart"/>
          </w:tcPr>
          <w:p w14:paraId="2A6C3134">
            <w:pPr>
              <w:adjustRightInd w:val="0"/>
              <w:snapToGrid w:val="0"/>
              <w:spacing w:line="560" w:lineRule="exact"/>
              <w:rPr>
                <w:b/>
                <w:sz w:val="24"/>
              </w:rPr>
            </w:pPr>
            <w:r>
              <w:rPr>
                <w:rFonts w:hint="eastAsia"/>
                <w:b/>
                <w:sz w:val="24"/>
              </w:rPr>
              <w:t>教学时间安排</w:t>
            </w:r>
          </w:p>
        </w:tc>
        <w:tc>
          <w:tcPr>
            <w:tcW w:w="4421" w:type="dxa"/>
          </w:tcPr>
          <w:p w14:paraId="78944DAA">
            <w:pPr>
              <w:adjustRightInd w:val="0"/>
              <w:snapToGrid w:val="0"/>
              <w:spacing w:line="560" w:lineRule="exact"/>
              <w:ind w:firstLine="420" w:firstLineChars="200"/>
            </w:pPr>
            <w:r>
              <w:rPr>
                <w:rFonts w:hint="eastAsia"/>
              </w:rPr>
              <w:t>每学分对应的教学时间与学生自主学习时间的比例小于1:1，</w:t>
            </w:r>
          </w:p>
        </w:tc>
      </w:tr>
      <w:tr w14:paraId="6645A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8" w:type="dxa"/>
            <w:vMerge w:val="continue"/>
          </w:tcPr>
          <w:p w14:paraId="00856444">
            <w:pPr>
              <w:adjustRightInd w:val="0"/>
              <w:snapToGrid w:val="0"/>
              <w:spacing w:line="560" w:lineRule="exact"/>
              <w:ind w:firstLine="480" w:firstLineChars="200"/>
              <w:rPr>
                <w:b/>
                <w:sz w:val="24"/>
              </w:rPr>
            </w:pPr>
          </w:p>
        </w:tc>
        <w:tc>
          <w:tcPr>
            <w:tcW w:w="1738" w:type="dxa"/>
            <w:vMerge w:val="continue"/>
          </w:tcPr>
          <w:p w14:paraId="7D9018BB">
            <w:pPr>
              <w:adjustRightInd w:val="0"/>
              <w:snapToGrid w:val="0"/>
              <w:spacing w:line="560" w:lineRule="exact"/>
              <w:ind w:firstLine="480" w:firstLineChars="200"/>
              <w:rPr>
                <w:b/>
                <w:sz w:val="24"/>
              </w:rPr>
            </w:pPr>
          </w:p>
        </w:tc>
        <w:tc>
          <w:tcPr>
            <w:tcW w:w="4421" w:type="dxa"/>
          </w:tcPr>
          <w:p w14:paraId="71E19F3A">
            <w:pPr>
              <w:adjustRightInd w:val="0"/>
              <w:snapToGrid w:val="0"/>
              <w:spacing w:line="560" w:lineRule="exact"/>
              <w:ind w:firstLine="420" w:firstLineChars="200"/>
            </w:pPr>
            <w:r>
              <w:rPr>
                <w:rFonts w:hint="eastAsia"/>
              </w:rPr>
              <w:t>不减少大纲知识展示量的基础上，增强课堂中与学生的交互性，在技术支持协作下，通过多种方式，每节课不低于10分钟的互动时间，提高学生对知识的理解程度。</w:t>
            </w:r>
          </w:p>
        </w:tc>
      </w:tr>
      <w:tr w14:paraId="0F93E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8" w:type="dxa"/>
            <w:vMerge w:val="continue"/>
          </w:tcPr>
          <w:p w14:paraId="6A2B25D5">
            <w:pPr>
              <w:adjustRightInd w:val="0"/>
              <w:snapToGrid w:val="0"/>
              <w:spacing w:line="560" w:lineRule="exact"/>
              <w:ind w:firstLine="480" w:firstLineChars="200"/>
              <w:rPr>
                <w:b/>
                <w:sz w:val="24"/>
              </w:rPr>
            </w:pPr>
          </w:p>
        </w:tc>
        <w:tc>
          <w:tcPr>
            <w:tcW w:w="1738" w:type="dxa"/>
          </w:tcPr>
          <w:p w14:paraId="06229FD8">
            <w:pPr>
              <w:adjustRightInd w:val="0"/>
              <w:snapToGrid w:val="0"/>
              <w:spacing w:line="560" w:lineRule="exact"/>
              <w:rPr>
                <w:b/>
                <w:sz w:val="24"/>
              </w:rPr>
            </w:pPr>
            <w:r>
              <w:rPr>
                <w:rFonts w:hint="eastAsia"/>
                <w:b/>
                <w:sz w:val="24"/>
              </w:rPr>
              <w:t>教学活动与学习指导</w:t>
            </w:r>
          </w:p>
        </w:tc>
        <w:tc>
          <w:tcPr>
            <w:tcW w:w="4421" w:type="dxa"/>
          </w:tcPr>
          <w:p w14:paraId="5FB40CE0">
            <w:pPr>
              <w:adjustRightInd w:val="0"/>
              <w:snapToGrid w:val="0"/>
              <w:spacing w:line="560" w:lineRule="exact"/>
              <w:ind w:firstLine="420" w:firstLineChars="200"/>
            </w:pPr>
            <w:r>
              <w:rPr>
                <w:rFonts w:hint="eastAsia"/>
              </w:rPr>
              <w:t>线上线下指导相结合，依托网络平台，完成线上指导；充分发挥学生自主学习，与自我解决的能力，线上鼓励学生之间互相解决问题，线下指导，每学分不低于1学时。</w:t>
            </w:r>
          </w:p>
          <w:p w14:paraId="0E6664B8">
            <w:pPr>
              <w:adjustRightInd w:val="0"/>
              <w:snapToGrid w:val="0"/>
              <w:spacing w:line="560" w:lineRule="exact"/>
              <w:ind w:firstLine="420" w:firstLineChars="200"/>
            </w:pPr>
            <w:r>
              <w:rPr>
                <w:rFonts w:hint="eastAsia"/>
              </w:rPr>
              <w:t>互动与讨论：教师发帖数</w:t>
            </w:r>
            <w:r>
              <w:rPr>
                <w:rFonts w:hint="eastAsia" w:ascii="宋体" w:hAnsi="宋体"/>
              </w:rPr>
              <w:t>≥</w:t>
            </w:r>
            <w:r>
              <w:rPr>
                <w:rFonts w:hint="eastAsia"/>
              </w:rPr>
              <w:t>20次，发帖总数</w:t>
            </w:r>
            <w:r>
              <w:rPr>
                <w:rFonts w:hint="eastAsia" w:ascii="宋体" w:hAnsi="宋体"/>
              </w:rPr>
              <w:t>≥</w:t>
            </w:r>
            <w:r>
              <w:rPr>
                <w:rFonts w:hint="eastAsia"/>
              </w:rPr>
              <w:t>100次，学生参与率</w:t>
            </w:r>
            <w:r>
              <w:rPr>
                <w:rFonts w:hint="eastAsia" w:ascii="宋体" w:hAnsi="宋体"/>
              </w:rPr>
              <w:t>≥</w:t>
            </w:r>
            <w:r>
              <w:rPr>
                <w:rFonts w:hint="eastAsia"/>
              </w:rPr>
              <w:t>98%。</w:t>
            </w:r>
          </w:p>
        </w:tc>
      </w:tr>
    </w:tbl>
    <w:p w14:paraId="4EEEEBBF">
      <w:pPr>
        <w:widowControl/>
        <w:spacing w:line="560" w:lineRule="exact"/>
        <w:ind w:firstLine="560" w:firstLineChars="200"/>
        <w:rPr>
          <w:rFonts w:ascii="仿宋_GB2312" w:hAnsi="宋体" w:eastAsia="仿宋_GB2312" w:cs="宋体"/>
          <w:color w:val="000000"/>
          <w:kern w:val="0"/>
          <w:sz w:val="28"/>
          <w:szCs w:val="28"/>
        </w:rPr>
      </w:pPr>
    </w:p>
    <w:p w14:paraId="1422CA01">
      <w:pPr>
        <w:pStyle w:val="3"/>
        <w:outlineLvl w:val="1"/>
        <w:rPr>
          <w:rFonts w:ascii="仿宋" w:hAnsi="仿宋" w:eastAsia="仿宋"/>
          <w:bCs w:val="0"/>
          <w:kern w:val="0"/>
          <w:sz w:val="32"/>
          <w:szCs w:val="32"/>
        </w:rPr>
      </w:pPr>
      <w:bookmarkStart w:id="17" w:name="_Toc121316387"/>
      <w:bookmarkStart w:id="18" w:name="_Toc7151"/>
      <w:bookmarkStart w:id="19" w:name="_Toc22257"/>
      <w:bookmarkStart w:id="20" w:name="_Toc24240"/>
      <w:r>
        <w:rPr>
          <w:rFonts w:hint="eastAsia" w:ascii="仿宋" w:hAnsi="仿宋" w:eastAsia="仿宋"/>
          <w:bCs w:val="0"/>
          <w:kern w:val="0"/>
          <w:sz w:val="32"/>
          <w:szCs w:val="32"/>
        </w:rPr>
        <w:t>1-</w:t>
      </w:r>
      <w:r>
        <w:rPr>
          <w:rFonts w:ascii="仿宋" w:hAnsi="仿宋" w:eastAsia="仿宋"/>
          <w:bCs w:val="0"/>
          <w:kern w:val="0"/>
          <w:sz w:val="32"/>
          <w:szCs w:val="32"/>
        </w:rPr>
        <w:t>3</w:t>
      </w:r>
      <w:r>
        <w:rPr>
          <w:rFonts w:hint="eastAsia" w:ascii="仿宋" w:hAnsi="仿宋" w:eastAsia="仿宋"/>
          <w:bCs w:val="0"/>
          <w:kern w:val="0"/>
          <w:sz w:val="32"/>
          <w:szCs w:val="32"/>
        </w:rPr>
        <w:t xml:space="preserve"> 线上线下混合式课程</w:t>
      </w:r>
      <w:bookmarkEnd w:id="17"/>
      <w:bookmarkEnd w:id="18"/>
    </w:p>
    <w:p w14:paraId="160F3BCE">
      <w:pPr>
        <w:widowControl/>
        <w:adjustRightInd w:val="0"/>
        <w:snapToGrid w:val="0"/>
        <w:spacing w:line="560" w:lineRule="exact"/>
        <w:ind w:firstLine="643" w:firstLineChars="200"/>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一、建设目标</w:t>
      </w:r>
    </w:p>
    <w:p w14:paraId="4FEDC882">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1.线上线下混合式课程。主要指基于慕课、专属在线课程（SPOC）或其他在线课程，运用适当的数字化教学工具，结合本校实际对校内课程进行改造，安排20%—50%的教学时间实施学生线上自主学习，与线下面授有机结合开展翻转课堂、混合式教学，打造在线课程与本校课堂教学相融合的混合式“金课”。尤其鼓励、倡导基于国家精品在线开放课程应用的线上线下混合式优质课程申报。</w:t>
      </w:r>
    </w:p>
    <w:p w14:paraId="5EF2DAD6">
      <w:pPr>
        <w:widowControl/>
        <w:adjustRightInd w:val="0"/>
        <w:snapToGrid w:val="0"/>
        <w:spacing w:line="560" w:lineRule="exact"/>
        <w:ind w:firstLine="643" w:firstLineChars="200"/>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二、建设要求</w:t>
      </w:r>
    </w:p>
    <w:p w14:paraId="596823B3">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符合相关类型课程基本形态和特殊要求的同时，在以下多方面具备实质性创新，有较大的借鉴和推广价值。</w:t>
      </w:r>
    </w:p>
    <w:p w14:paraId="5755D821">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1.教学理念先进。坚持立德树人，体现以学生发展为中心，致力于开启学生内在潜力和学习动力，注重学生德智体美劳全面发展。</w:t>
      </w:r>
    </w:p>
    <w:p w14:paraId="7CF88309">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2.课程教学团队教学成果显著。课程团队教学改革意识强烈、理念先进，人员结构及任务分工合理。主讲教师具备良好的师德师风，具有丰富的教学经验、较高学术造诣，积极投身教学改革，教学能力强，能够运用新技术提高教学效率、提升教学质量。</w:t>
      </w:r>
    </w:p>
    <w:p w14:paraId="30095F5A">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3.课程目标有效支撑培养目标达成。课程目标符合学校办学定位和人才培养目标，注重知识、能力、素质培养。</w:t>
      </w:r>
    </w:p>
    <w:p w14:paraId="4D3D92DE">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4.课程教学设计科学合理。围绕目标达成、教学内容、组织实施和多元评价需求进行整体规划，教学策略、教学方法、教学过程、教学评价等设计合理。</w:t>
      </w:r>
    </w:p>
    <w:p w14:paraId="70F1A8E2">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5.课程内容与时俱进。课程内容结构符合学生成长规律，依据学科前沿动态与社会发展需求动态更新知识体系，契合课程目标，教材选用符合教育部和学校教材选用规定，教学资源丰富多样，体现思想性、科学性与时代性。</w:t>
      </w:r>
    </w:p>
    <w:p w14:paraId="181C0636">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6.教学组织与实施突出学生中心地位。根据学生认知规律和接受特点，创新教与学模式，因材施教，促进师生之间、学生之间的交流互动、资源共享、知识生成，教学反馈及时，教学效果显著。</w:t>
      </w:r>
    </w:p>
    <w:p w14:paraId="3A105478">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7.课程管理与评价科学且可测量。教师备课要求明确，学生学习管理严格。针对教学目标、教学内容、教学组织等采用多元化考核评价，过程可回溯，诊断改进积极有效。教学过程材料完整，可借鉴可监督。</w:t>
      </w:r>
    </w:p>
    <w:p w14:paraId="4AF1FE7E">
      <w:pPr>
        <w:widowControl/>
        <w:adjustRightInd w:val="0"/>
        <w:snapToGrid w:val="0"/>
        <w:spacing w:line="560" w:lineRule="exact"/>
        <w:ind w:firstLine="643" w:firstLineChars="200"/>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三、申报范围与条件</w:t>
      </w:r>
    </w:p>
    <w:p w14:paraId="6CB0E4F7">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 xml:space="preserve">1.凡纳入普通高等学校人才培养方案且设置学分的本、高职课程，并至少经过两个学期或两个教学周期的建设和完善，取得一定实质性改革成效，均可推荐申报，包括思想政治理论课、公共基础课、专业基础课、专业课以及通识课等独立设置的本、高职理论课程、实验或社会实践课程等。 </w:t>
      </w:r>
    </w:p>
    <w:p w14:paraId="4032F68B">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olor w:val="000000"/>
          <w:kern w:val="0"/>
          <w:sz w:val="32"/>
          <w:szCs w:val="32"/>
        </w:rPr>
        <w:t>2</w:t>
      </w:r>
      <w:r>
        <w:rPr>
          <w:rFonts w:hint="eastAsia" w:ascii="仿宋" w:hAnsi="仿宋" w:eastAsia="仿宋" w:cs="方正仿宋_GBK"/>
          <w:color w:val="000000"/>
          <w:kern w:val="0"/>
          <w:sz w:val="32"/>
          <w:szCs w:val="32"/>
        </w:rPr>
        <w:t>.课程负责人为本校专职教师，具有博士学位或中级</w:t>
      </w:r>
      <w:r>
        <w:rPr>
          <w:rFonts w:hint="eastAsia" w:ascii="仿宋" w:hAnsi="仿宋" w:eastAsia="仿宋" w:cs="方正仿宋_GBK"/>
          <w:color w:val="000000"/>
          <w:kern w:val="0"/>
          <w:sz w:val="32"/>
          <w:szCs w:val="32"/>
          <w:lang w:val="en-US" w:eastAsia="zh-CN"/>
        </w:rPr>
        <w:t>及以上</w:t>
      </w:r>
      <w:r>
        <w:rPr>
          <w:rFonts w:hint="eastAsia" w:ascii="仿宋" w:hAnsi="仿宋" w:eastAsia="仿宋" w:cs="方正仿宋_GBK"/>
          <w:color w:val="000000"/>
          <w:kern w:val="0"/>
          <w:sz w:val="32"/>
          <w:szCs w:val="32"/>
        </w:rPr>
        <w:t>职称。</w:t>
      </w:r>
    </w:p>
    <w:p w14:paraId="57C94EF5">
      <w:pPr>
        <w:pStyle w:val="3"/>
        <w:spacing w:line="560" w:lineRule="exact"/>
        <w:rPr>
          <w:rFonts w:ascii="仿宋" w:hAnsi="仿宋" w:eastAsia="仿宋"/>
          <w:kern w:val="0"/>
        </w:rPr>
      </w:pPr>
      <w:bookmarkStart w:id="21" w:name="_Toc24014"/>
      <w:bookmarkStart w:id="22" w:name="_Toc121316388"/>
      <w:r>
        <w:rPr>
          <w:rFonts w:hint="eastAsia" w:ascii="仿宋" w:hAnsi="仿宋" w:eastAsia="仿宋"/>
          <w:kern w:val="0"/>
        </w:rPr>
        <w:t>1-</w:t>
      </w:r>
      <w:r>
        <w:rPr>
          <w:rFonts w:ascii="仿宋" w:hAnsi="仿宋" w:eastAsia="仿宋"/>
          <w:kern w:val="0"/>
        </w:rPr>
        <w:t>4</w:t>
      </w:r>
      <w:r>
        <w:rPr>
          <w:rFonts w:hint="eastAsia" w:ascii="仿宋" w:hAnsi="仿宋" w:eastAsia="仿宋"/>
          <w:kern w:val="0"/>
        </w:rPr>
        <w:t xml:space="preserve"> 虚拟仿真实验教学</w:t>
      </w:r>
      <w:bookmarkEnd w:id="19"/>
      <w:bookmarkEnd w:id="20"/>
      <w:r>
        <w:rPr>
          <w:rFonts w:hint="eastAsia" w:ascii="仿宋" w:hAnsi="仿宋" w:eastAsia="仿宋"/>
          <w:kern w:val="0"/>
        </w:rPr>
        <w:t>课程</w:t>
      </w:r>
      <w:bookmarkEnd w:id="21"/>
      <w:bookmarkEnd w:id="22"/>
    </w:p>
    <w:p w14:paraId="371EBBB5">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 xml:space="preserve"> </w:t>
      </w:r>
      <w:r>
        <w:rPr>
          <w:rFonts w:hint="eastAsia" w:ascii="仿宋" w:hAnsi="仿宋" w:eastAsia="仿宋" w:cs="宋体"/>
          <w:b/>
          <w:bCs/>
          <w:color w:val="000000"/>
          <w:kern w:val="0"/>
          <w:sz w:val="32"/>
          <w:szCs w:val="32"/>
        </w:rPr>
        <w:t>一、建设目标</w:t>
      </w:r>
    </w:p>
    <w:p w14:paraId="1906B06D">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为适应经济社会快速发展对人才培养的新要求、信息化时代教育教学的新规律，以提高学生实践能力和创新精神为核心，以现代信息技术为依托，以相关专业类急需的实验教学信息化内容为指向，以完整的实验教学项目为基础，建设示范性虚拟仿真实验教学项目，推动高校积极探索线上线下教学相结合的个性化、智能化、泛在化实验教学新模式，形成专业布局合理、教学效果优良、开放共享有效的高等教育信息化实验教学项目示范新体系，支撑高等教育教学质量全面提高。</w:t>
      </w:r>
    </w:p>
    <w:p w14:paraId="5A3D86B3">
      <w:pPr>
        <w:widowControl/>
        <w:spacing w:line="560" w:lineRule="exact"/>
        <w:ind w:firstLine="643" w:firstLineChars="200"/>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 xml:space="preserve">二、建设要求 </w:t>
      </w:r>
    </w:p>
    <w:p w14:paraId="7FB416C6">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实验教学项目作为高校开展实验教学的基本单元，其建设水平直接决定实验教学的整体质量。开展虚拟仿真实验教学项目建设，是推进现代信息技术与实验教学项目深度融合、拓展实验教学内容广度和深度、延伸实验教学时间和空间、提升实验教学质量和水平的重要举措。示范性虚拟仿真实验教学项目应具有：</w:t>
      </w:r>
    </w:p>
    <w:p w14:paraId="55F44817">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1.以学生为中心的实验教学理念</w:t>
      </w:r>
    </w:p>
    <w:p w14:paraId="282FC1A1">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坚持一切从学生的需求出发，注重对学生社会责任感、创新精神、实践能力的综合培养，注重知识传授、能力培养、素质提高的协同实施，调动学生参与实验教学的积极性和主动性，激发学生的学习兴趣和潜能，增强学生创新创造能力。</w:t>
      </w:r>
    </w:p>
    <w:p w14:paraId="18C9CC0F">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2.准确适宜的实验教学内容</w:t>
      </w:r>
    </w:p>
    <w:p w14:paraId="7A135E4C">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申报项目应是面向实验教学培养目标，针对实物实验安全性差、难以实现、成本高昂、时空限制等方面原因不便开展的实验教学任务。项目应实现实验核心要素，项目的仿真度应着力于还原真实实验的教学要求、实验原理、操作环境及互动感受。紧密结合经济社会发展对高校人才培养的需求，紧密结合专业特色和行业产业发展最新成果，紧密结合学校定位和人才培养特点，采用现代信息技术，研发原理准确、内容紧凑、时长合理、难度适宜的虚拟仿真实验教学项目。</w:t>
      </w:r>
    </w:p>
    <w:p w14:paraId="291B842A">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3.创新多样的教学方式方法</w:t>
      </w:r>
    </w:p>
    <w:p w14:paraId="4D4AB08C">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始终关注信息化时代背景下学生需求，重点实行基于问题、案例的互动式、研讨式教学，倡导自主式、合作式、探究式学习。创新实验教学项目资源呈现方式，注重通过文字、图片、视频等各种媒介促进教学准备、线上讨论、线下交流。加强网络化条件下实验教学规律研究，探索提升实验教学效果的方式方法。</w:t>
      </w:r>
    </w:p>
    <w:p w14:paraId="61616297">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4.先进可靠的实验研发技术</w:t>
      </w:r>
    </w:p>
    <w:p w14:paraId="2292A60A">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虚拟仿真实验教学项目的研发要以完成教学要求和内容为目标，综合应用多媒体、大数据、三维建模、人工智能、人机交互、传感器、超级计算、虚拟现实、增强现实、云计算等网络化、数字化、智能化技术手段，提高实验教学项目的吸引力和教学有效度。加强相关技术可靠性研究，注重对学生使用虚拟仿真实验教学项目的全方位、多层次防护，切实保障学生健康。</w:t>
      </w:r>
    </w:p>
    <w:p w14:paraId="79C06D7A">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5.稳定安全的开放运行模式</w:t>
      </w:r>
    </w:p>
    <w:p w14:paraId="6714DEBA">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充分考虑不同区域、不同层次、不同类型学生接入实验教学项目的运行需求，搭建具有开放性、扩展性、兼容性和前瞻性的虚拟仿真实验教学项目运行平台。注重对相关实验教学项目自有或共有知识产权的保护，注重对学生个人信息等的保护，严格遵守我国教育、知识产权、互联网等相关法律法规，按照“谁开发、谁负责，谁使用、谁负责”的原则确定基本安全责任。积极探索在线虚拟仿真实验教学项目可持续运行的有效模式。</w:t>
      </w:r>
    </w:p>
    <w:p w14:paraId="5FA08F3D">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6.敬业专业的实验教学队伍</w:t>
      </w:r>
    </w:p>
    <w:p w14:paraId="7E541D5F">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重视实验教学队伍建设，围绕虚拟仿真实验教学项目建设运行，建设师德高尚、热爱教学、知识丰富、能力过硬、结构合理的虚拟仿真实验教学团队。健全完善实验教学队伍考核、奖励、监督机制，鼓励和支持教师参与虚拟仿真实验教学项目研发和教学实践。</w:t>
      </w:r>
    </w:p>
    <w:p w14:paraId="21130090">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7.持续改进的实验评价体系</w:t>
      </w:r>
    </w:p>
    <w:p w14:paraId="3E670BDB">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将虚拟仿真实验教学项目纳入相关专业培养方案和教学课程，制订相关教学效果评价办法。根据学生和教师反馈，持续改进相关教学评价机制。鼓励高校探索有利于虚拟仿真实验教学项目开放共享的教学绩效激励机制，建立高校间相关实验教学项目成绩互认、学分转换机制。</w:t>
      </w:r>
    </w:p>
    <w:p w14:paraId="62CC7449">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8.显著示范的实验教学效果</w:t>
      </w:r>
    </w:p>
    <w:p w14:paraId="32E8BE41">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虚拟仿真实验教学效果显著，受益面大，学生实验兴趣浓厚，自主学习能力明显增强，实践创新能力明显提高。通过开展在线教学服务或技术支持等，积极发挥对专业类内实验教学信息化建设的示范引领作用。</w:t>
      </w:r>
    </w:p>
    <w:p w14:paraId="53C9485F">
      <w:pPr>
        <w:widowControl/>
        <w:spacing w:line="560" w:lineRule="exact"/>
        <w:ind w:firstLine="643" w:firstLineChars="200"/>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三、申报范围</w:t>
      </w:r>
    </w:p>
    <w:p w14:paraId="71D90DB1">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1.申报课程应为高校开展实验教学的基本单元，符合虚拟仿真实验教学项目的要求。结合本校专业类实验室建设情况和专业类实验教学信息化发展需求等因素，统筹规划。</w:t>
      </w:r>
    </w:p>
    <w:p w14:paraId="3148851D">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项目负责人须为申报院校专职教师，具有中级及以上职称或具有博士学位，教学经验丰富，教学能力强，从事该实践项目教学三年以上。项目团队组成结构合理、人员稳定，须保障线上线下教学应用正常有序运行。</w:t>
      </w:r>
    </w:p>
    <w:p w14:paraId="604566D3">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3.课程申报负责人要承诺申报材料的真实性，引用的课程资源要注明来源，上网内容不侵犯他人的知识产权。</w:t>
      </w:r>
    </w:p>
    <w:p w14:paraId="5C07E76D">
      <w:pPr>
        <w:widowControl/>
        <w:spacing w:line="560" w:lineRule="exact"/>
        <w:ind w:firstLine="643" w:firstLineChars="200"/>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四、虚拟仿真实验教学项目认定</w:t>
      </w:r>
    </w:p>
    <w:p w14:paraId="771A02FA">
      <w:pPr>
        <w:widowControl/>
        <w:spacing w:line="560" w:lineRule="exact"/>
        <w:ind w:firstLine="640" w:firstLineChars="200"/>
        <w:rPr>
          <w:rFonts w:ascii="仿宋" w:hAnsi="仿宋" w:eastAsia="仿宋" w:cs="宋体"/>
          <w:color w:val="000000"/>
          <w:kern w:val="0"/>
          <w:sz w:val="32"/>
          <w:szCs w:val="32"/>
        </w:rPr>
      </w:pPr>
      <w:r>
        <w:rPr>
          <w:rFonts w:ascii="仿宋" w:hAnsi="仿宋" w:eastAsia="仿宋" w:cs="宋体"/>
          <w:color w:val="000000"/>
          <w:kern w:val="0"/>
          <w:sz w:val="32"/>
          <w:szCs w:val="32"/>
        </w:rPr>
        <w:t>1.</w:t>
      </w:r>
      <w:r>
        <w:rPr>
          <w:rFonts w:hint="eastAsia" w:ascii="仿宋" w:hAnsi="仿宋" w:eastAsia="仿宋" w:cs="宋体"/>
          <w:color w:val="000000"/>
          <w:kern w:val="0"/>
          <w:sz w:val="32"/>
          <w:szCs w:val="32"/>
        </w:rPr>
        <w:t>视频资源</w:t>
      </w:r>
    </w:p>
    <w:p w14:paraId="4F2BC82C">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视频内容应重点介绍实验教学项目的基本情况，包括实验名称、实验目的、实验环境、实验内容、实验要求、实验方法、实验步骤、实验注意事项等，实现对所申报实验项目的真实反映，激发使用者的参与愿望。（</w:t>
      </w:r>
      <w:r>
        <w:rPr>
          <w:rFonts w:ascii="仿宋" w:hAnsi="仿宋" w:eastAsia="仿宋" w:cs="宋体"/>
          <w:color w:val="000000"/>
          <w:kern w:val="0"/>
          <w:sz w:val="32"/>
          <w:szCs w:val="32"/>
        </w:rPr>
        <w:t>教学项目简介视频时长控制在3分钟以内，项目教学引导视频时长控制在5-8分钟以内。</w:t>
      </w:r>
      <w:r>
        <w:rPr>
          <w:rFonts w:hint="eastAsia" w:ascii="仿宋" w:hAnsi="仿宋" w:eastAsia="仿宋" w:cs="宋体"/>
          <w:color w:val="000000"/>
          <w:kern w:val="0"/>
          <w:sz w:val="32"/>
          <w:szCs w:val="32"/>
        </w:rPr>
        <w:t>画面清晰、图像稳定，声音与画面同步且无杂音。如有解说应采用标准普通话配音。分辨率：1920*1080 25P或以上；编码：H.264，H.264/AVC High Profile Level 4.2或以上；封装格式：MP4；码流：不小于5Mbps。</w:t>
      </w:r>
    </w:p>
    <w:p w14:paraId="4667A160">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音频和字幕要求：音频格式：混合立体声；编码：AAC、MP3；码流：不低于128kbps，采样率48000Hz。字幕直接压制在介质上。）</w:t>
      </w:r>
    </w:p>
    <w:p w14:paraId="4F3DB08F">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2.虚拟仿真实验教学项目应坚持“能实不虚”，支撑学生综合能力培养，至少满足2个课时的实验教学需求，学生实际参与的交互性实验操作步骤须不少于10步。</w:t>
      </w:r>
    </w:p>
    <w:p w14:paraId="605B3CA4">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3.虚拟仿真实验教学项目应确保符合相关知识产权法律法规，可以完全对外公开服务。</w:t>
      </w:r>
    </w:p>
    <w:p w14:paraId="02A8C4D2">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4.虚拟仿真实验教学项目应依托网络平台，提供有效链接网址应直接指向实验项目，且保持链接畅通；应确保所承诺的并发数以内网络实验请求及时响应和对超过并发数的实验请求提供排队提示服务。</w:t>
      </w:r>
    </w:p>
    <w:p w14:paraId="3278C12A">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5.相关高校要确保项目被认定后1年内面向全省高校和社会免费开放并提供教学服务，1年后至3年内免费开放服务内容不少于50%，3年后免费开放服务内容不少于30%。</w:t>
      </w:r>
    </w:p>
    <w:p w14:paraId="3777F5C2">
      <w:pPr>
        <w:pStyle w:val="3"/>
        <w:spacing w:line="560" w:lineRule="exact"/>
        <w:rPr>
          <w:rFonts w:ascii="仿宋" w:hAnsi="仿宋" w:eastAsia="仿宋"/>
          <w:kern w:val="0"/>
        </w:rPr>
      </w:pPr>
      <w:bookmarkStart w:id="23" w:name="_Toc121316389"/>
      <w:bookmarkStart w:id="24" w:name="_Toc21324"/>
      <w:r>
        <w:rPr>
          <w:rFonts w:hint="eastAsia" w:ascii="仿宋" w:hAnsi="仿宋" w:eastAsia="仿宋"/>
          <w:kern w:val="0"/>
        </w:rPr>
        <w:t>1-</w:t>
      </w:r>
      <w:r>
        <w:rPr>
          <w:rFonts w:ascii="仿宋" w:hAnsi="仿宋" w:eastAsia="仿宋"/>
          <w:kern w:val="0"/>
        </w:rPr>
        <w:t>5</w:t>
      </w:r>
      <w:r>
        <w:rPr>
          <w:rFonts w:hint="eastAsia" w:ascii="仿宋" w:hAnsi="仿宋" w:eastAsia="仿宋"/>
          <w:kern w:val="0"/>
        </w:rPr>
        <w:t>社会实践课程</w:t>
      </w:r>
      <w:bookmarkEnd w:id="23"/>
      <w:bookmarkEnd w:id="24"/>
    </w:p>
    <w:p w14:paraId="14D00476">
      <w:pPr>
        <w:widowControl/>
        <w:adjustRightInd w:val="0"/>
        <w:snapToGrid w:val="0"/>
        <w:spacing w:line="560" w:lineRule="exact"/>
        <w:ind w:firstLine="643" w:firstLineChars="200"/>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一、建设目标</w:t>
      </w:r>
    </w:p>
    <w:p w14:paraId="0E56850C">
      <w:pPr>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社会实践课程。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课程应为纳入高校人才培养方案的非实习、实训课程，配备理论指导教师，具有稳定的实践基地，学生70%以上学时深入基层，保证课程规范化和可持续发展。</w:t>
      </w:r>
    </w:p>
    <w:p w14:paraId="56650B66">
      <w:pPr>
        <w:widowControl/>
        <w:adjustRightInd w:val="0"/>
        <w:snapToGrid w:val="0"/>
        <w:spacing w:line="560" w:lineRule="exact"/>
        <w:ind w:firstLine="643" w:firstLineChars="200"/>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二、建设要求</w:t>
      </w:r>
    </w:p>
    <w:p w14:paraId="71535F66">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符合相关类型课程基本形态和特殊要求的同时，在以下多方面具备实质性创新，有较大的借鉴和推广价值。</w:t>
      </w:r>
    </w:p>
    <w:p w14:paraId="1E139752">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1.教学理念先进。坚持立德树人，体现以学生发展为中心，致力于开启学生内在潜力和学习动力，注重学生德智体美劳全面发展。</w:t>
      </w:r>
    </w:p>
    <w:p w14:paraId="6A7FC126">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2.课程教学团队教学成果显著。课程团队教学改革意识强烈、理念先进，人员结构及任务分工合理。主讲教师具备良好的师德师风，具有丰富的教学经验、较高学术造诣，积极投身教学改革，教学能力强，能够运用新技术提高教学效率、提升教学质量。</w:t>
      </w:r>
    </w:p>
    <w:p w14:paraId="2F0D291E">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3.课程目标有效支撑培养目标达成。课程目标符合学校办学定位和人才培养目标，注重知识、能力、素质培养。</w:t>
      </w:r>
    </w:p>
    <w:p w14:paraId="36755851">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4.课程教学设计科学合理。围绕目标达成、教学内容、组织实施和多元评价需求进行整体规划，教学策略、教学方法、教学过程、教学评价等设计合理。</w:t>
      </w:r>
    </w:p>
    <w:p w14:paraId="44EC0337">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5.课程内容与时俱进。课程内容结构符合学生成长规律，依据学科前沿动态与社会发展需求动态更新知识体系，契合课程目标，教材选用符合教育部和学校教材选用规定，教学资源丰富多样，体现思想性、科学性与时代性。</w:t>
      </w:r>
    </w:p>
    <w:p w14:paraId="67E0EA76">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6.教学组织与实施突出学生中心地位。根据学生认知规律和接受特点，创新教与学模式，因材施教，促进师生之间、学生之间的交流互动、资源共享、知识生成，教学反馈及时，教学效果显著。</w:t>
      </w:r>
    </w:p>
    <w:p w14:paraId="62CD8B06">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7.课程管理与评价科学且可测量。教师备课要求明确，学生学习管理严格。针对教学目标、教学内容、教学组织等采用多元化考核评价，过程可回溯，诊断改进积极有效。教学过程材料完整，可借鉴可监督。</w:t>
      </w:r>
    </w:p>
    <w:p w14:paraId="7D98B543">
      <w:pPr>
        <w:widowControl/>
        <w:adjustRightInd w:val="0"/>
        <w:snapToGrid w:val="0"/>
        <w:spacing w:line="560" w:lineRule="exact"/>
        <w:ind w:firstLine="643" w:firstLineChars="200"/>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三、申报范围与条件</w:t>
      </w:r>
    </w:p>
    <w:p w14:paraId="25CC74CC">
      <w:pPr>
        <w:widowControl/>
        <w:adjustRightInd w:val="0"/>
        <w:snapToGrid w:val="0"/>
        <w:spacing w:line="560" w:lineRule="exact"/>
        <w:ind w:firstLine="640" w:firstLineChars="200"/>
        <w:rPr>
          <w:rFonts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 xml:space="preserve">1.凡纳入普通高等学校人才培养方案且设置学分的本、高职课程，并至少经过两个学期或两个教学周期的建设和完善，取得一定实质性改革成效，均可推荐申报，包括思想政治理论课、公共基础课、专业基础课、专业课以及通识课等独立设置的本、高职理论课程、实验或社会实践课程等。 </w:t>
      </w:r>
    </w:p>
    <w:p w14:paraId="093CE3B4">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olor w:val="000000"/>
          <w:kern w:val="0"/>
          <w:sz w:val="32"/>
          <w:szCs w:val="32"/>
        </w:rPr>
        <w:t>2</w:t>
      </w:r>
      <w:r>
        <w:rPr>
          <w:rFonts w:hint="eastAsia" w:ascii="仿宋" w:hAnsi="仿宋" w:eastAsia="仿宋" w:cs="方正仿宋_GBK"/>
          <w:color w:val="000000"/>
          <w:kern w:val="0"/>
          <w:sz w:val="32"/>
          <w:szCs w:val="32"/>
        </w:rPr>
        <w:t>.课程负责人为本校专职教师，具有博士学位或中级</w:t>
      </w:r>
      <w:r>
        <w:rPr>
          <w:rFonts w:hint="eastAsia" w:ascii="仿宋" w:hAnsi="仿宋" w:eastAsia="仿宋" w:cs="方正仿宋_GBK"/>
          <w:color w:val="000000"/>
          <w:kern w:val="0"/>
          <w:sz w:val="32"/>
          <w:szCs w:val="32"/>
          <w:lang w:val="en-US" w:eastAsia="zh-CN"/>
        </w:rPr>
        <w:t>及以上</w:t>
      </w:r>
      <w:r>
        <w:rPr>
          <w:rFonts w:hint="eastAsia" w:ascii="仿宋" w:hAnsi="仿宋" w:eastAsia="仿宋" w:cs="方正仿宋_GBK"/>
          <w:color w:val="000000"/>
          <w:kern w:val="0"/>
          <w:sz w:val="32"/>
          <w:szCs w:val="32"/>
        </w:rPr>
        <w:t>职称。</w:t>
      </w:r>
    </w:p>
    <w:p w14:paraId="4B12D5E2">
      <w:pPr>
        <w:pStyle w:val="3"/>
        <w:spacing w:line="560" w:lineRule="exact"/>
        <w:rPr>
          <w:rFonts w:hint="eastAsia" w:ascii="仿宋" w:hAnsi="仿宋" w:eastAsia="仿宋"/>
          <w:kern w:val="0"/>
        </w:rPr>
      </w:pPr>
      <w:bookmarkStart w:id="25" w:name="_Toc8625"/>
      <w:r>
        <w:rPr>
          <w:rFonts w:hint="eastAsia" w:ascii="仿宋" w:hAnsi="仿宋" w:eastAsia="仿宋"/>
          <w:kern w:val="0"/>
          <w:lang w:val="en-US" w:eastAsia="zh-CN"/>
        </w:rPr>
        <w:t>1-6</w:t>
      </w:r>
      <w:r>
        <w:rPr>
          <w:rFonts w:hint="eastAsia" w:ascii="仿宋" w:hAnsi="仿宋" w:eastAsia="仿宋"/>
          <w:kern w:val="0"/>
        </w:rPr>
        <w:t xml:space="preserve"> 智慧课程</w:t>
      </w:r>
      <w:bookmarkEnd w:id="25"/>
    </w:p>
    <w:p w14:paraId="298E76DD">
      <w:pPr>
        <w:widowControl/>
        <w:adjustRightInd w:val="0"/>
        <w:snapToGrid w:val="0"/>
        <w:spacing w:line="560" w:lineRule="exact"/>
        <w:ind w:firstLine="643" w:firstLineChars="200"/>
        <w:rPr>
          <w:rFonts w:hint="eastAsia" w:ascii="仿宋" w:hAnsi="仿宋" w:eastAsia="仿宋" w:cs="宋体"/>
          <w:b/>
          <w:color w:val="000000"/>
          <w:kern w:val="0"/>
          <w:sz w:val="32"/>
          <w:szCs w:val="32"/>
        </w:rPr>
      </w:pPr>
      <w:r>
        <w:rPr>
          <w:rFonts w:hint="eastAsia" w:ascii="仿宋" w:hAnsi="仿宋" w:eastAsia="仿宋" w:cs="宋体"/>
          <w:b/>
          <w:color w:val="000000"/>
          <w:kern w:val="0"/>
          <w:sz w:val="32"/>
          <w:szCs w:val="32"/>
        </w:rPr>
        <w:t>一、建设目标</w:t>
      </w:r>
    </w:p>
    <w:p w14:paraId="22529C06">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深入贯彻落实习近平总书记关于教育的重要论述，加快人工智能在教育教学领域的创新应用，深化课程教学改革，促进广大教师积极拥抱人工智能技术，特别是围绕深度学习、LLM（Large Language Model,大语言模型）、AIGC（Artificial Intelligence Generated Content,生成式人工智能）、知识图谱、新形态人机交互等前沿技术在教育教学中先行先试，形成一批有价值的资源、案例、应用，为教育数字化转型下好“先手棋”。</w:t>
      </w:r>
    </w:p>
    <w:p w14:paraId="3EEE00E7">
      <w:pPr>
        <w:widowControl/>
        <w:adjustRightInd w:val="0"/>
        <w:snapToGrid w:val="0"/>
        <w:spacing w:line="560" w:lineRule="exact"/>
        <w:ind w:firstLine="643" w:firstLineChars="200"/>
        <w:rPr>
          <w:rFonts w:hint="eastAsia" w:ascii="仿宋" w:hAnsi="仿宋" w:eastAsia="仿宋" w:cs="宋体"/>
          <w:b/>
          <w:color w:val="000000"/>
          <w:kern w:val="0"/>
          <w:sz w:val="32"/>
          <w:szCs w:val="32"/>
        </w:rPr>
      </w:pPr>
      <w:r>
        <w:rPr>
          <w:rFonts w:hint="eastAsia" w:ascii="仿宋" w:hAnsi="仿宋" w:eastAsia="仿宋" w:cs="宋体"/>
          <w:b/>
          <w:color w:val="000000"/>
          <w:kern w:val="0"/>
          <w:sz w:val="32"/>
          <w:szCs w:val="32"/>
        </w:rPr>
        <w:t>二、建设内容</w:t>
      </w:r>
    </w:p>
    <w:p w14:paraId="6E99A7EF">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1.重塑课程内容体系。梳理从人才培养目标、专业培养目标、毕业能力要求、到课程体系、课程目标的目标链，明确内在支撑关系，重新梳理课程知识点，深度结合课程进行内容重构，打破传统课程组织模式，注重知识的连贯性和系统性，同时融入最新科技成果和行业实践，强化产教融合、科教融汇，增强课程的实用性和针对性。</w:t>
      </w:r>
    </w:p>
    <w:p w14:paraId="22755293">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2.创新教学方法。利用人工智能技术辅助教师进行教研备课、辅导答疑、学习分析等，帮助教师优化教学方法，提高备课效率，了解学生学习情况，根据学生的学习进度实施个性化教学。利用在线学习平台、虚拟实验室、智能辅导系统等智能教学工具，提高教学效果和学生的参与度。</w:t>
      </w:r>
    </w:p>
    <w:p w14:paraId="6E2330B9">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3.优化教学评价。建立信息采集、评价、督导、反馈机制，进行课堂教学智能评测，对影响课堂教育教学质量的各类要素进行智能化大数据分析，实现课堂教学质量监督的全过程智能化。</w:t>
      </w:r>
    </w:p>
    <w:p w14:paraId="2F93D2BA">
      <w:pPr>
        <w:widowControl/>
        <w:adjustRightInd w:val="0"/>
        <w:snapToGrid w:val="0"/>
        <w:spacing w:line="560" w:lineRule="exact"/>
        <w:ind w:firstLine="643" w:firstLineChars="200"/>
        <w:rPr>
          <w:rFonts w:hint="eastAsia" w:ascii="仿宋" w:hAnsi="仿宋" w:eastAsia="仿宋" w:cs="宋体"/>
          <w:b/>
          <w:color w:val="000000"/>
          <w:kern w:val="0"/>
          <w:sz w:val="32"/>
          <w:szCs w:val="32"/>
        </w:rPr>
      </w:pPr>
      <w:r>
        <w:rPr>
          <w:rFonts w:hint="eastAsia" w:ascii="仿宋" w:hAnsi="仿宋" w:eastAsia="仿宋" w:cs="宋体"/>
          <w:b/>
          <w:color w:val="000000"/>
          <w:kern w:val="0"/>
          <w:sz w:val="32"/>
          <w:szCs w:val="32"/>
        </w:rPr>
        <w:t>三、申报要求</w:t>
      </w:r>
    </w:p>
    <w:p w14:paraId="027A9473">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1.申报课程须为已列入本科人才培养方案且设置学分的本科课程，且至少经过2个教学周期的建设和完善。鼓励受众面广、需求量大的公共基础课、专业基础课、专业核心课、通识核心课程申报。</w:t>
      </w:r>
    </w:p>
    <w:p w14:paraId="637A6709">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2.课程负责人须为本校专职教师，应具有</w:t>
      </w:r>
      <w:r>
        <w:rPr>
          <w:rFonts w:hint="eastAsia" w:ascii="仿宋" w:hAnsi="仿宋" w:eastAsia="仿宋" w:cs="方正仿宋_GBK"/>
          <w:color w:val="000000"/>
          <w:kern w:val="0"/>
          <w:sz w:val="32"/>
          <w:szCs w:val="32"/>
          <w:highlight w:val="none"/>
          <w:lang w:val="en-US" w:eastAsia="zh-CN"/>
        </w:rPr>
        <w:t>中级</w:t>
      </w:r>
      <w:r>
        <w:rPr>
          <w:rFonts w:hint="eastAsia" w:ascii="仿宋" w:hAnsi="仿宋" w:eastAsia="仿宋" w:cs="方正仿宋_GBK"/>
          <w:color w:val="000000"/>
          <w:kern w:val="0"/>
          <w:sz w:val="32"/>
          <w:szCs w:val="32"/>
        </w:rPr>
        <w:t>及以上职称或博士学位，具备良好的师德师风，教学能力强，教学改革意识强烈，具有丰富的教学经验和较高的学术造诣，能够积极投身教学改革，运用人工智能技术提高教学效率、提升教学质量。课程负责人应主讲本课程2轮次以上。</w:t>
      </w:r>
    </w:p>
    <w:p w14:paraId="7E095178">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3.课程建设团队应结构合理、分工明确、素质优良，集体教研制度完善且有效实施，团队成员不超过5人（含课程负责人）。近两年，课程负责人和教学团队无教学事故和师德师风问题。</w:t>
      </w:r>
    </w:p>
    <w:p w14:paraId="1A701478">
      <w:pPr>
        <w:widowControl/>
        <w:adjustRightInd w:val="0"/>
        <w:snapToGrid w:val="0"/>
        <w:spacing w:line="560" w:lineRule="exact"/>
        <w:ind w:firstLine="643" w:firstLineChars="200"/>
        <w:rPr>
          <w:rFonts w:hint="eastAsia" w:ascii="仿宋" w:hAnsi="仿宋" w:eastAsia="仿宋" w:cs="宋体"/>
          <w:b/>
          <w:color w:val="000000"/>
          <w:kern w:val="0"/>
          <w:sz w:val="32"/>
          <w:szCs w:val="32"/>
        </w:rPr>
      </w:pPr>
      <w:r>
        <w:rPr>
          <w:rFonts w:hint="eastAsia" w:ascii="仿宋" w:hAnsi="仿宋" w:eastAsia="仿宋" w:cs="宋体"/>
          <w:b/>
          <w:color w:val="000000"/>
          <w:kern w:val="0"/>
          <w:sz w:val="32"/>
          <w:szCs w:val="32"/>
        </w:rPr>
        <w:t>四、验收标准</w:t>
      </w:r>
    </w:p>
    <w:p w14:paraId="72165B94">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1.建设期内，课程至少基于线上课程平台开设2个教学周期，实现“必选功能2项+自选功能2项”：</w:t>
      </w:r>
    </w:p>
    <w:p w14:paraId="0F0D1A4F">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①必选功能包括：AI助学或助教、知识图谱。</w:t>
      </w:r>
    </w:p>
    <w:p w14:paraId="43A55E62">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②自选功能包括：数字教材、数字人、智能批改、智能备课、智能翻译、AI教学管理、能力图谱、素质图谱等。</w:t>
      </w:r>
    </w:p>
    <w:p w14:paraId="5229CC27">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lang w:val="en-US" w:eastAsia="zh-CN"/>
        </w:rPr>
        <w:t>2</w:t>
      </w:r>
      <w:r>
        <w:rPr>
          <w:rFonts w:hint="eastAsia" w:ascii="仿宋" w:hAnsi="仿宋" w:eastAsia="仿宋" w:cs="方正仿宋_GBK"/>
          <w:color w:val="000000"/>
          <w:kern w:val="0"/>
          <w:sz w:val="32"/>
          <w:szCs w:val="32"/>
        </w:rPr>
        <w:t>.项目负责人参加或指导本团队青年教师参加校级及以上教师教学竞赛不少于1次。</w:t>
      </w:r>
    </w:p>
    <w:p w14:paraId="30EE78A3">
      <w:pPr>
        <w:pStyle w:val="3"/>
        <w:spacing w:line="560" w:lineRule="exact"/>
        <w:rPr>
          <w:rFonts w:hint="default" w:ascii="仿宋" w:hAnsi="仿宋" w:eastAsia="仿宋"/>
          <w:kern w:val="0"/>
          <w:lang w:val="en-US" w:eastAsia="zh-CN"/>
        </w:rPr>
      </w:pPr>
      <w:bookmarkStart w:id="26" w:name="_Toc18767"/>
      <w:r>
        <w:rPr>
          <w:rFonts w:hint="eastAsia" w:ascii="仿宋" w:hAnsi="仿宋" w:eastAsia="仿宋"/>
          <w:kern w:val="0"/>
          <w:lang w:val="en-US" w:eastAsia="zh-CN"/>
        </w:rPr>
        <w:t>1-7 人工智能通识课程</w:t>
      </w:r>
      <w:bookmarkEnd w:id="26"/>
    </w:p>
    <w:p w14:paraId="4796DD1B">
      <w:pPr>
        <w:pStyle w:val="26"/>
        <w:tabs>
          <w:tab w:val="left" w:pos="1128"/>
        </w:tabs>
        <w:topLinePunct/>
        <w:spacing w:line="560" w:lineRule="exact"/>
        <w:ind w:left="0" w:firstLine="643" w:firstLineChars="200"/>
        <w:jc w:val="both"/>
        <w:rPr>
          <w:rFonts w:hint="default" w:ascii="Times New Roman" w:eastAsia="仿宋" w:cs="仿宋_GB2312"/>
          <w:b/>
          <w:bCs/>
          <w:color w:val="auto"/>
          <w:sz w:val="32"/>
          <w:szCs w:val="32"/>
          <w:lang w:bidi="ar"/>
        </w:rPr>
      </w:pPr>
      <w:r>
        <w:rPr>
          <w:rFonts w:ascii="Times New Roman" w:eastAsia="仿宋" w:cs="仿宋_GB2312"/>
          <w:b/>
          <w:bCs/>
          <w:color w:val="auto"/>
          <w:sz w:val="32"/>
          <w:szCs w:val="32"/>
          <w:lang w:bidi="ar"/>
        </w:rPr>
        <w:t>一、建设目标</w:t>
      </w:r>
    </w:p>
    <w:p w14:paraId="01AD3120">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促进人工智能发展与其他学科专业交叉融合，通过构建完善的人工智能通识课程体系、加强师资队伍建设、创新教学方法与手段、深化多学科交叉融合，培养和提高学生的AI素养、创新能力和智能时代终身学习的能力，为建设教育强省提供智力支撑。</w:t>
      </w:r>
    </w:p>
    <w:p w14:paraId="6C4243B5">
      <w:pPr>
        <w:pStyle w:val="26"/>
        <w:tabs>
          <w:tab w:val="left" w:pos="1128"/>
        </w:tabs>
        <w:topLinePunct/>
        <w:spacing w:line="560" w:lineRule="exact"/>
        <w:ind w:left="0" w:firstLine="643" w:firstLineChars="200"/>
        <w:jc w:val="both"/>
        <w:rPr>
          <w:rFonts w:hint="default" w:ascii="Times New Roman" w:eastAsia="仿宋" w:cs="仿宋_GB2312"/>
          <w:b/>
          <w:bCs/>
          <w:color w:val="auto"/>
          <w:sz w:val="32"/>
          <w:szCs w:val="32"/>
          <w:lang w:bidi="ar"/>
        </w:rPr>
      </w:pPr>
      <w:r>
        <w:rPr>
          <w:rFonts w:ascii="Times New Roman" w:eastAsia="仿宋" w:cs="仿宋_GB2312"/>
          <w:b/>
          <w:bCs/>
          <w:color w:val="auto"/>
          <w:sz w:val="32"/>
          <w:szCs w:val="32"/>
          <w:lang w:bidi="ar"/>
        </w:rPr>
        <w:t>二、建设内容</w:t>
      </w:r>
    </w:p>
    <w:p w14:paraId="452C619B">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1.课程体系优化。阶梯式构建“人工智能基础课程+专题式课程”的人工智能通识课程体系。人工智能基础课程如《人工智能导论》，讲解人工智能的学科发展、前世今生、基本概念、基础技术、典型应用场景、常见工具平台等；专题式课程为各类学科交叉课程，讲解人工智能在前沿科学研究中的应用、各类学科与人工智能深度融合的前沿实践等。</w:t>
      </w:r>
    </w:p>
    <w:p w14:paraId="52A9429C">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2.课程内容重构。鼓励专业以人工智能与本学科交叉融合为切入点开展教学，在专业教育中融入人工智能知识，讲解人工智能在工业制造、金融服务、医疗健康、生物信息、交通运输、社会治理、环境保护、法律服务、媒体娱乐、艺术设计、国防安全等多领域的最前沿应用，培养学生面对智能化时代解决多学科领域复杂问题的创新能力。</w:t>
      </w:r>
    </w:p>
    <w:p w14:paraId="426D4991">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3.突出校本特色。融入高校优势学科建设成果，可开设AI与伦理治理，AI与生产关系，AI与未来教育，AI与人文精神，AI与心理认知，AI与语言文字，AI与法治等学科素养课程；与专业服务的产业紧密对接，可校企合作共建专题式课程。</w:t>
      </w:r>
    </w:p>
    <w:p w14:paraId="75AC12EB">
      <w:pPr>
        <w:pStyle w:val="26"/>
        <w:tabs>
          <w:tab w:val="left" w:pos="1128"/>
        </w:tabs>
        <w:topLinePunct/>
        <w:spacing w:line="560" w:lineRule="exact"/>
        <w:ind w:left="0" w:firstLine="643" w:firstLineChars="200"/>
        <w:jc w:val="both"/>
        <w:rPr>
          <w:rFonts w:hint="default" w:ascii="Times New Roman" w:eastAsia="仿宋" w:cs="仿宋_GB2312"/>
          <w:b/>
          <w:bCs/>
          <w:color w:val="auto"/>
          <w:sz w:val="32"/>
          <w:szCs w:val="32"/>
          <w:lang w:bidi="ar"/>
        </w:rPr>
      </w:pPr>
      <w:r>
        <w:rPr>
          <w:rFonts w:ascii="Times New Roman" w:eastAsia="仿宋" w:cs="仿宋_GB2312"/>
          <w:b/>
          <w:bCs/>
          <w:color w:val="auto"/>
          <w:sz w:val="32"/>
          <w:szCs w:val="32"/>
          <w:lang w:bidi="ar"/>
        </w:rPr>
        <w:t>三、申报要求</w:t>
      </w:r>
    </w:p>
    <w:p w14:paraId="655EBA01">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1.申报课程为计划列入本科人才培养方案且设置学分的本科新课程，建成后可作为通识课程供本校或外校学生必修或选修。</w:t>
      </w:r>
    </w:p>
    <w:p w14:paraId="7E12A348">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2.课程负责人须为本校专职教师，应具有</w:t>
      </w:r>
      <w:r>
        <w:rPr>
          <w:rFonts w:hint="eastAsia" w:ascii="Times New Roman" w:eastAsia="仿宋" w:cs="仿宋_GB2312"/>
          <w:color w:val="auto"/>
          <w:sz w:val="32"/>
          <w:szCs w:val="32"/>
          <w:lang w:val="en-US" w:eastAsia="zh-CN" w:bidi="ar"/>
        </w:rPr>
        <w:t>讲师</w:t>
      </w:r>
      <w:r>
        <w:rPr>
          <w:rFonts w:ascii="Times New Roman" w:eastAsia="仿宋" w:cs="仿宋_GB2312"/>
          <w:color w:val="auto"/>
          <w:sz w:val="32"/>
          <w:szCs w:val="32"/>
          <w:lang w:bidi="ar"/>
        </w:rPr>
        <w:t>及以上职称或博士学位，具备良好的师德师风，教学能力强，教学改革意识强烈，具有丰富的教学经验和较高的学术造诣，能够积极投身教学改革。</w:t>
      </w:r>
    </w:p>
    <w:p w14:paraId="2C0F0914">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3.课程建设团队应结构合理、分工明确、素质优良，集体教研制度完善且有效实施，团队成员不超过5人（含课程负责人）。近两年，课程负责人和教学团队无教学事故和师德师风问题。</w:t>
      </w:r>
    </w:p>
    <w:p w14:paraId="57DC0AEC">
      <w:pPr>
        <w:pStyle w:val="26"/>
        <w:tabs>
          <w:tab w:val="left" w:pos="1128"/>
        </w:tabs>
        <w:topLinePunct/>
        <w:spacing w:line="560" w:lineRule="exact"/>
        <w:ind w:left="0" w:firstLine="643" w:firstLineChars="200"/>
        <w:jc w:val="both"/>
        <w:rPr>
          <w:rFonts w:hint="default" w:ascii="Times New Roman" w:eastAsia="仿宋" w:cs="仿宋_GB2312"/>
          <w:b/>
          <w:bCs/>
          <w:color w:val="auto"/>
          <w:sz w:val="32"/>
          <w:szCs w:val="32"/>
          <w:lang w:bidi="ar"/>
        </w:rPr>
      </w:pPr>
      <w:r>
        <w:rPr>
          <w:rFonts w:ascii="Times New Roman" w:eastAsia="仿宋" w:cs="仿宋_GB2312"/>
          <w:b/>
          <w:bCs/>
          <w:color w:val="auto"/>
          <w:sz w:val="32"/>
          <w:szCs w:val="32"/>
          <w:lang w:bidi="ar"/>
        </w:rPr>
        <w:t>四、验收标准</w:t>
      </w:r>
    </w:p>
    <w:p w14:paraId="2F9BE497">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1.建设期内，课程至少开设1个教学周期，提供教学大纲，学校教务处盖章的最近一学期的教学日历，测验、考试（考核）及答案（成果等），学生成绩分布统计。</w:t>
      </w:r>
    </w:p>
    <w:p w14:paraId="0A9D3B11">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2.提供课程负责人签字的最近一学期的课程教案、一节代表性课程的完整教学设计和教学实施流程说明，尽可能细致地反映出教师的思考和教学设计，在文档中应提供不少于5张教学活动的图片。要求教学设计样例应具有较强的可读性，表述清晰流畅。</w:t>
      </w:r>
    </w:p>
    <w:p w14:paraId="4CEFB638">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3.如为线上课程，则提供线上课程链接、账号、密码，平台盖章的课程数据信息表。</w:t>
      </w:r>
    </w:p>
    <w:p w14:paraId="5DF87222">
      <w:pPr>
        <w:pStyle w:val="26"/>
        <w:tabs>
          <w:tab w:val="left" w:pos="1128"/>
        </w:tabs>
        <w:topLinePunct/>
        <w:spacing w:line="560" w:lineRule="exact"/>
        <w:ind w:left="0" w:firstLineChars="200"/>
        <w:jc w:val="both"/>
        <w:rPr>
          <w:rFonts w:hint="eastAsia" w:ascii="仿宋" w:hAnsi="仿宋" w:eastAsia="仿宋"/>
          <w:kern w:val="0"/>
          <w:lang w:val="en-US" w:eastAsia="zh-CN"/>
        </w:rPr>
      </w:pPr>
      <w:r>
        <w:rPr>
          <w:rFonts w:ascii="Times New Roman" w:eastAsia="仿宋" w:cs="仿宋_GB2312"/>
          <w:color w:val="auto"/>
          <w:sz w:val="32"/>
          <w:szCs w:val="32"/>
          <w:lang w:bidi="ar"/>
        </w:rPr>
        <w:t>4.项目负责人参加或指导本团队青年教师参加校级及以上教师教学竞赛不少于1次。</w:t>
      </w:r>
    </w:p>
    <w:p w14:paraId="27E00C6A">
      <w:pPr>
        <w:pStyle w:val="3"/>
        <w:spacing w:line="560" w:lineRule="exact"/>
        <w:rPr>
          <w:rFonts w:hint="eastAsia" w:ascii="仿宋" w:hAnsi="仿宋" w:eastAsia="仿宋"/>
          <w:kern w:val="0"/>
          <w:lang w:val="en-US" w:eastAsia="zh-CN"/>
        </w:rPr>
      </w:pPr>
      <w:bookmarkStart w:id="27" w:name="_Toc31681"/>
      <w:r>
        <w:rPr>
          <w:rFonts w:hint="eastAsia" w:ascii="仿宋" w:hAnsi="仿宋" w:eastAsia="仿宋"/>
          <w:kern w:val="0"/>
          <w:lang w:val="en-US" w:eastAsia="zh-CN"/>
        </w:rPr>
        <w:t>1-8 “行业企业课程资源库”“真实项目案例库”</w:t>
      </w:r>
      <w:bookmarkEnd w:id="27"/>
    </w:p>
    <w:p w14:paraId="3E55D779">
      <w:pPr>
        <w:pStyle w:val="26"/>
        <w:tabs>
          <w:tab w:val="left" w:pos="1128"/>
        </w:tabs>
        <w:topLinePunct/>
        <w:spacing w:line="560" w:lineRule="exact"/>
        <w:ind w:left="0" w:firstLine="643" w:firstLineChars="200"/>
        <w:jc w:val="both"/>
        <w:rPr>
          <w:rFonts w:hint="eastAsia" w:ascii="Times New Roman" w:eastAsia="仿宋" w:cs="仿宋_GB2312"/>
          <w:b/>
          <w:bCs/>
          <w:color w:val="auto"/>
          <w:sz w:val="32"/>
          <w:szCs w:val="32"/>
          <w:lang w:val="en-US" w:eastAsia="zh-CN" w:bidi="ar"/>
        </w:rPr>
      </w:pPr>
      <w:r>
        <w:rPr>
          <w:rFonts w:hint="eastAsia" w:ascii="Times New Roman" w:eastAsia="仿宋" w:cs="仿宋_GB2312"/>
          <w:b/>
          <w:bCs/>
          <w:color w:val="auto"/>
          <w:sz w:val="32"/>
          <w:szCs w:val="32"/>
          <w:lang w:val="en-US" w:eastAsia="zh-CN" w:bidi="ar"/>
        </w:rPr>
        <w:t>一、建设目标</w:t>
      </w:r>
    </w:p>
    <w:p w14:paraId="56BDDC3F">
      <w:pPr>
        <w:ind w:firstLine="640" w:firstLineChars="200"/>
        <w:rPr>
          <w:rFonts w:hint="eastAsia" w:ascii="Times New Roman" w:eastAsia="仿宋" w:cs="仿宋_GB2312" w:hAnsiTheme="minorHAnsi"/>
          <w:color w:val="auto"/>
          <w:kern w:val="2"/>
          <w:sz w:val="32"/>
          <w:szCs w:val="32"/>
          <w:lang w:val="en-US" w:eastAsia="zh-CN" w:bidi="ar"/>
        </w:rPr>
      </w:pPr>
      <w:r>
        <w:rPr>
          <w:rFonts w:hint="eastAsia" w:ascii="Times New Roman" w:eastAsia="仿宋" w:cs="仿宋_GB2312" w:hAnsiTheme="minorHAnsi"/>
          <w:color w:val="auto"/>
          <w:kern w:val="2"/>
          <w:sz w:val="32"/>
          <w:szCs w:val="32"/>
          <w:lang w:val="en-US" w:eastAsia="zh-CN" w:bidi="ar"/>
        </w:rPr>
        <w:t>为进一步加强学校课程内涵建设，满足教育部审核评估整改相关要求，进一步提升人才培养质量，推进“两库”建设工作。</w:t>
      </w:r>
    </w:p>
    <w:p w14:paraId="7991B3E8">
      <w:pPr>
        <w:pStyle w:val="26"/>
        <w:tabs>
          <w:tab w:val="left" w:pos="1128"/>
        </w:tabs>
        <w:topLinePunct/>
        <w:spacing w:line="560" w:lineRule="exact"/>
        <w:ind w:left="0" w:firstLine="643" w:firstLineChars="200"/>
        <w:jc w:val="both"/>
        <w:rPr>
          <w:rFonts w:hint="eastAsia" w:ascii="Times New Roman" w:eastAsia="仿宋" w:cs="仿宋_GB2312"/>
          <w:b/>
          <w:bCs/>
          <w:color w:val="auto"/>
          <w:sz w:val="32"/>
          <w:szCs w:val="32"/>
          <w:lang w:val="en-US" w:eastAsia="zh-CN" w:bidi="ar"/>
        </w:rPr>
      </w:pPr>
      <w:r>
        <w:rPr>
          <w:rFonts w:hint="eastAsia" w:ascii="Times New Roman" w:eastAsia="仿宋" w:cs="仿宋_GB2312"/>
          <w:b/>
          <w:bCs/>
          <w:color w:val="auto"/>
          <w:sz w:val="32"/>
          <w:szCs w:val="32"/>
          <w:lang w:val="en-US" w:eastAsia="zh-CN" w:bidi="ar"/>
        </w:rPr>
        <w:t>二、申报要求</w:t>
      </w:r>
    </w:p>
    <w:p w14:paraId="7E79D9A6">
      <w:pPr>
        <w:ind w:firstLine="640" w:firstLineChars="200"/>
        <w:rPr>
          <w:rFonts w:hint="eastAsia" w:ascii="Times New Roman" w:eastAsia="仿宋" w:cs="仿宋_GB2312" w:hAnsiTheme="minorHAnsi"/>
          <w:color w:val="auto"/>
          <w:kern w:val="2"/>
          <w:sz w:val="32"/>
          <w:szCs w:val="32"/>
          <w:lang w:val="en-US" w:eastAsia="zh-CN" w:bidi="ar"/>
        </w:rPr>
      </w:pPr>
      <w:r>
        <w:rPr>
          <w:rFonts w:hint="eastAsia" w:ascii="Times New Roman" w:eastAsia="仿宋" w:cs="仿宋_GB2312" w:hAnsiTheme="minorHAnsi"/>
          <w:color w:val="auto"/>
          <w:kern w:val="2"/>
          <w:sz w:val="32"/>
          <w:szCs w:val="32"/>
          <w:lang w:val="en-US" w:eastAsia="zh-CN" w:bidi="ar"/>
        </w:rPr>
        <w:t xml:space="preserve">1.国家级一流本科课程、省级一流本科课程、教育部产学合作协同育人项目（教学内容和课程体系改革）等各类优秀课程均纳入“两库”建设范围，相关课程负责人是“两库”建设的第一责任人，课程团队成员应积极配合课程负责人完成相关建设任务； </w:t>
      </w:r>
    </w:p>
    <w:p w14:paraId="4B860BED">
      <w:pPr>
        <w:ind w:firstLine="640" w:firstLineChars="200"/>
        <w:rPr>
          <w:rFonts w:hint="eastAsia" w:ascii="Times New Roman" w:eastAsia="仿宋" w:cs="仿宋_GB2312" w:hAnsiTheme="minorHAnsi"/>
          <w:color w:val="auto"/>
          <w:kern w:val="2"/>
          <w:sz w:val="32"/>
          <w:szCs w:val="32"/>
          <w:lang w:val="en-US" w:eastAsia="zh-CN" w:bidi="ar"/>
        </w:rPr>
      </w:pPr>
      <w:r>
        <w:rPr>
          <w:rFonts w:hint="eastAsia" w:ascii="Times New Roman" w:eastAsia="仿宋" w:cs="仿宋_GB2312" w:hAnsiTheme="minorHAnsi"/>
          <w:color w:val="auto"/>
          <w:kern w:val="2"/>
          <w:sz w:val="32"/>
          <w:szCs w:val="32"/>
          <w:lang w:val="en-US" w:eastAsia="zh-CN" w:bidi="ar"/>
        </w:rPr>
        <w:t>2.国家级一流本科专业、省级一流本科专业，以及省级产业学院所涉及专业的专业核心课均应纳入“两库”建设范围；鼓励其他本科专业各类课程、通识类课程、综合实践课程、专业实践课程参与“两库”的建设；</w:t>
      </w:r>
    </w:p>
    <w:p w14:paraId="1C201B32">
      <w:pPr>
        <w:ind w:firstLine="640" w:firstLineChars="200"/>
        <w:rPr>
          <w:rFonts w:hint="eastAsia" w:ascii="Times New Roman" w:eastAsia="仿宋" w:cs="仿宋_GB2312" w:hAnsiTheme="minorHAnsi"/>
          <w:color w:val="auto"/>
          <w:kern w:val="2"/>
          <w:sz w:val="32"/>
          <w:szCs w:val="32"/>
          <w:lang w:val="en-US" w:eastAsia="zh-CN" w:bidi="ar"/>
        </w:rPr>
      </w:pPr>
      <w:r>
        <w:rPr>
          <w:rFonts w:hint="eastAsia" w:ascii="Times New Roman" w:eastAsia="仿宋" w:cs="仿宋_GB2312" w:hAnsiTheme="minorHAnsi"/>
          <w:color w:val="auto"/>
          <w:kern w:val="2"/>
          <w:sz w:val="32"/>
          <w:szCs w:val="32"/>
          <w:lang w:val="en-US" w:eastAsia="zh-CN" w:bidi="ar"/>
        </w:rPr>
        <w:t xml:space="preserve">3.“行业企业课程资源库”应具有一定的校企合作基础，包括但不限于师资队伍建设、课程大纲编写、课程内容设计、教学资源共建等合作内容，课程负责人应广泛参与行业企业相关工作任务，建立良好的校企合作基础并引荐优质教学资源； </w:t>
      </w:r>
    </w:p>
    <w:p w14:paraId="23A52BDF">
      <w:pPr>
        <w:ind w:firstLine="640" w:firstLineChars="200"/>
        <w:rPr>
          <w:rFonts w:hint="eastAsia" w:ascii="Times New Roman" w:eastAsia="仿宋" w:cs="仿宋_GB2312" w:hAnsiTheme="minorHAnsi"/>
          <w:color w:val="auto"/>
          <w:kern w:val="2"/>
          <w:sz w:val="32"/>
          <w:szCs w:val="32"/>
          <w:lang w:val="en-US" w:eastAsia="zh-CN" w:bidi="ar"/>
        </w:rPr>
      </w:pPr>
      <w:r>
        <w:rPr>
          <w:rFonts w:hint="eastAsia" w:ascii="Times New Roman" w:eastAsia="仿宋" w:cs="仿宋_GB2312" w:hAnsiTheme="minorHAnsi"/>
          <w:color w:val="auto"/>
          <w:kern w:val="2"/>
          <w:sz w:val="32"/>
          <w:szCs w:val="32"/>
          <w:lang w:val="en-US" w:eastAsia="zh-CN" w:bidi="ar"/>
        </w:rPr>
        <w:t>4.“行业企业课程资源库”中，校企合作类型包含师资队伍建设类的课程，应保证引进企业师资能够进课堂与学校专任教师进行“共讲”；</w:t>
      </w:r>
    </w:p>
    <w:p w14:paraId="0D9F7367">
      <w:pPr>
        <w:ind w:firstLine="640" w:firstLineChars="200"/>
        <w:rPr>
          <w:rFonts w:hint="eastAsia" w:ascii="Times New Roman" w:eastAsia="仿宋" w:cs="仿宋_GB2312" w:hAnsiTheme="minorHAnsi"/>
          <w:color w:val="auto"/>
          <w:kern w:val="2"/>
          <w:sz w:val="32"/>
          <w:szCs w:val="32"/>
          <w:lang w:val="en-US" w:eastAsia="zh-CN" w:bidi="ar"/>
        </w:rPr>
      </w:pPr>
      <w:r>
        <w:rPr>
          <w:rFonts w:hint="eastAsia" w:ascii="Times New Roman" w:eastAsia="仿宋" w:cs="仿宋_GB2312" w:hAnsiTheme="minorHAnsi"/>
          <w:color w:val="auto"/>
          <w:kern w:val="2"/>
          <w:sz w:val="32"/>
          <w:szCs w:val="32"/>
          <w:lang w:val="en-US" w:eastAsia="zh-CN" w:bidi="ar"/>
        </w:rPr>
        <w:t>5.“真实项目案例库”建设应重点引入课程教学内容相关的行业企业及职业岗位所需的真实项目或任务以及具有一定代表性的经典案例等，并保证项目、任务、案例等资源内容充实。</w:t>
      </w:r>
    </w:p>
    <w:p w14:paraId="143015F3">
      <w:pPr>
        <w:pStyle w:val="26"/>
        <w:tabs>
          <w:tab w:val="left" w:pos="1128"/>
        </w:tabs>
        <w:topLinePunct/>
        <w:spacing w:line="560" w:lineRule="exact"/>
        <w:ind w:left="0" w:firstLine="643" w:firstLineChars="200"/>
        <w:jc w:val="both"/>
        <w:rPr>
          <w:rFonts w:hint="eastAsia" w:ascii="Times New Roman" w:eastAsia="仿宋" w:cs="仿宋_GB2312"/>
          <w:b/>
          <w:bCs/>
          <w:color w:val="auto"/>
          <w:sz w:val="32"/>
          <w:szCs w:val="32"/>
          <w:lang w:val="en-US" w:eastAsia="zh-CN" w:bidi="ar"/>
        </w:rPr>
      </w:pPr>
      <w:r>
        <w:rPr>
          <w:rFonts w:hint="eastAsia" w:ascii="Times New Roman" w:eastAsia="仿宋" w:cs="仿宋_GB2312"/>
          <w:b/>
          <w:bCs/>
          <w:color w:val="auto"/>
          <w:sz w:val="32"/>
          <w:szCs w:val="32"/>
          <w:lang w:val="en-US" w:eastAsia="zh-CN" w:bidi="ar"/>
        </w:rPr>
        <w:t>三、验收标准</w:t>
      </w:r>
    </w:p>
    <w:p w14:paraId="48A1D0F7">
      <w:pPr>
        <w:ind w:firstLine="640" w:firstLineChars="200"/>
        <w:rPr>
          <w:rFonts w:hint="eastAsia" w:ascii="Times New Roman" w:eastAsia="仿宋" w:cs="仿宋_GB2312" w:hAnsiTheme="minorHAnsi"/>
          <w:color w:val="auto"/>
          <w:kern w:val="2"/>
          <w:sz w:val="32"/>
          <w:szCs w:val="32"/>
          <w:lang w:val="en-US" w:eastAsia="zh-CN" w:bidi="ar"/>
        </w:rPr>
      </w:pPr>
      <w:r>
        <w:rPr>
          <w:rFonts w:hint="eastAsia" w:ascii="Times New Roman" w:eastAsia="仿宋" w:cs="仿宋_GB2312" w:hAnsiTheme="minorHAnsi"/>
          <w:color w:val="auto"/>
          <w:kern w:val="2"/>
          <w:sz w:val="32"/>
          <w:szCs w:val="32"/>
          <w:lang w:val="en-US" w:eastAsia="zh-CN" w:bidi="ar"/>
        </w:rPr>
        <w:t>“行业企业课程资源库”“真实项目案例库”项目建设周期均为1年，建设成果以案例汇编形式提交，其中“真实项目案例库”原则上每门课程的项目/任务/案例总数不少于10例。鼓励各专业在建设案例库的基础上形成案例教材。</w:t>
      </w:r>
    </w:p>
    <w:p w14:paraId="174DDA1C">
      <w:pPr>
        <w:pStyle w:val="2"/>
        <w:spacing w:line="560" w:lineRule="exact"/>
        <w:jc w:val="both"/>
        <w:rPr>
          <w:rFonts w:hint="eastAsia" w:ascii="黑体" w:hAnsi="黑体" w:eastAsia="黑体"/>
          <w:b w:val="0"/>
          <w:kern w:val="0"/>
          <w:sz w:val="32"/>
          <w:szCs w:val="32"/>
        </w:rPr>
      </w:pPr>
      <w:bookmarkStart w:id="28" w:name="_Toc121316391"/>
      <w:bookmarkStart w:id="29" w:name="_Toc894"/>
      <w:bookmarkStart w:id="30" w:name="_Toc8375"/>
      <w:bookmarkStart w:id="31" w:name="_Toc25482"/>
      <w:bookmarkStart w:id="32" w:name="_Toc526975914"/>
      <w:bookmarkStart w:id="33" w:name="_Toc526975920"/>
    </w:p>
    <w:p w14:paraId="3B3CD534">
      <w:pPr>
        <w:pStyle w:val="2"/>
        <w:spacing w:line="560" w:lineRule="exact"/>
        <w:ind w:firstLine="640" w:firstLineChars="200"/>
        <w:jc w:val="center"/>
        <w:rPr>
          <w:rFonts w:ascii="黑体" w:hAnsi="黑体" w:eastAsia="黑体"/>
          <w:b w:val="0"/>
          <w:kern w:val="0"/>
          <w:sz w:val="32"/>
          <w:szCs w:val="32"/>
        </w:rPr>
      </w:pPr>
      <w:r>
        <w:rPr>
          <w:rFonts w:hint="eastAsia" w:ascii="黑体" w:hAnsi="黑体" w:eastAsia="黑体"/>
          <w:b w:val="0"/>
          <w:kern w:val="0"/>
          <w:sz w:val="32"/>
          <w:szCs w:val="32"/>
        </w:rPr>
        <w:t>2.教材建设</w:t>
      </w:r>
      <w:bookmarkEnd w:id="28"/>
      <w:bookmarkEnd w:id="29"/>
      <w:bookmarkEnd w:id="30"/>
      <w:bookmarkEnd w:id="31"/>
    </w:p>
    <w:p w14:paraId="63C3FFEE">
      <w:pPr>
        <w:widowControl/>
        <w:spacing w:line="560" w:lineRule="exact"/>
        <w:ind w:firstLine="643" w:firstLineChars="200"/>
        <w:rPr>
          <w:rFonts w:ascii="仿宋" w:hAnsi="仿宋" w:eastAsia="仿宋" w:cs="宋体"/>
          <w:b/>
          <w:bCs/>
          <w:color w:val="000000"/>
          <w:kern w:val="0"/>
          <w:sz w:val="32"/>
          <w:szCs w:val="32"/>
        </w:rPr>
      </w:pPr>
      <w:r>
        <w:rPr>
          <w:rFonts w:ascii="仿宋" w:hAnsi="仿宋" w:eastAsia="仿宋" w:cs="宋体"/>
          <w:b/>
          <w:bCs/>
          <w:color w:val="000000"/>
          <w:kern w:val="0"/>
          <w:sz w:val="32"/>
          <w:szCs w:val="32"/>
        </w:rPr>
        <w:t>一、建设目标</w:t>
      </w:r>
    </w:p>
    <w:p w14:paraId="6DC534A7">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一流教材建设项目旨在贯彻落实中共中央办公厅、国务院办公厅联合印发的《关于加强和改进新形势下大中小学教材建设的意见》精神，</w:t>
      </w:r>
      <w:r>
        <w:rPr>
          <w:rFonts w:ascii="仿宋" w:hAnsi="仿宋" w:eastAsia="仿宋" w:cs="宋体"/>
          <w:color w:val="000000"/>
          <w:kern w:val="0"/>
          <w:sz w:val="32"/>
          <w:szCs w:val="32"/>
        </w:rPr>
        <w:t>加强教材研究，</w:t>
      </w:r>
      <w:r>
        <w:rPr>
          <w:rFonts w:hint="eastAsia" w:ascii="仿宋" w:hAnsi="仿宋" w:eastAsia="仿宋" w:cs="宋体"/>
          <w:color w:val="000000"/>
          <w:kern w:val="0"/>
          <w:sz w:val="32"/>
          <w:szCs w:val="32"/>
        </w:rPr>
        <w:t>凝结和体现学科建设与课程建设成果，</w:t>
      </w:r>
      <w:r>
        <w:rPr>
          <w:rFonts w:ascii="仿宋" w:hAnsi="仿宋" w:eastAsia="仿宋" w:cs="宋体"/>
          <w:color w:val="000000"/>
          <w:kern w:val="0"/>
          <w:sz w:val="32"/>
          <w:szCs w:val="32"/>
        </w:rPr>
        <w:t>创新教材呈现方式和话语体系，实现理论体系向教材体系转化、教材体系向教学体系转化、知识体系向学生的价值体系转化，使教材更加体现科学性、前沿性，进一步增强教材针对性和实效性</w:t>
      </w:r>
      <w:r>
        <w:rPr>
          <w:rFonts w:hint="eastAsia" w:ascii="仿宋" w:hAnsi="仿宋" w:eastAsia="仿宋" w:cs="宋体"/>
          <w:color w:val="000000"/>
          <w:kern w:val="0"/>
          <w:sz w:val="32"/>
          <w:szCs w:val="32"/>
        </w:rPr>
        <w:t>，从而推进我省高等教育高水平、高质量教材建设，全面提升我省教材建设的水平。</w:t>
      </w:r>
    </w:p>
    <w:p w14:paraId="08DFADBE">
      <w:pPr>
        <w:widowControl/>
        <w:spacing w:line="560" w:lineRule="exact"/>
        <w:ind w:firstLine="643" w:firstLineChars="200"/>
        <w:rPr>
          <w:rFonts w:ascii="仿宋" w:hAnsi="仿宋" w:eastAsia="仿宋" w:cs="宋体"/>
          <w:b/>
          <w:bCs/>
          <w:color w:val="000000"/>
          <w:kern w:val="0"/>
          <w:sz w:val="32"/>
          <w:szCs w:val="32"/>
        </w:rPr>
      </w:pPr>
      <w:r>
        <w:rPr>
          <w:rFonts w:ascii="仿宋" w:hAnsi="仿宋" w:eastAsia="仿宋" w:cs="宋体"/>
          <w:b/>
          <w:bCs/>
          <w:color w:val="000000"/>
          <w:kern w:val="0"/>
          <w:sz w:val="32"/>
          <w:szCs w:val="32"/>
        </w:rPr>
        <w:t>二、建设</w:t>
      </w:r>
      <w:r>
        <w:rPr>
          <w:rFonts w:hint="eastAsia" w:ascii="仿宋" w:hAnsi="仿宋" w:eastAsia="仿宋" w:cs="宋体"/>
          <w:b/>
          <w:bCs/>
          <w:color w:val="000000"/>
          <w:kern w:val="0"/>
          <w:sz w:val="32"/>
          <w:szCs w:val="32"/>
        </w:rPr>
        <w:t>要求</w:t>
      </w:r>
    </w:p>
    <w:p w14:paraId="04BA1697">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坚持突出重点、锤炼精品、改革创新、凸现特色的原则，构建具有安徽省高校学科优势特色的、适应高水平人才培养需要的高质量课程教材体系。鼓励申请使用面广、效果好、影响大的专业核心课程教材、实验实践类教材。</w:t>
      </w:r>
    </w:p>
    <w:p w14:paraId="0542DDFD">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教材要充分发挥育人功能，落实立德树人的根本任务，符合教学规律和认知规律，准确阐述本学科先进理论与概念，吸收国内外前沿研究成果，体例完整，结构科学，案例生动，深入浅出，有利于培养学生学习能力、实践能力和创新能力。教材建设要充分吸收教育信息化的成果，使得数字化教学资源能够服务于教学资源共享类课程的教材。</w:t>
      </w:r>
    </w:p>
    <w:p w14:paraId="267EEF5C">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教材编写团队结构合理，学术水平高。主编应具有中级及以上或博士学位，学术造诣深厚，教学经验丰富，组织协调能力强。注重吸收行业企业优秀人才参与教材建设，</w:t>
      </w:r>
      <w:r>
        <w:rPr>
          <w:rFonts w:ascii="仿宋" w:hAnsi="仿宋" w:eastAsia="仿宋" w:cs="宋体"/>
          <w:color w:val="000000"/>
          <w:kern w:val="0"/>
          <w:sz w:val="32"/>
          <w:szCs w:val="32"/>
        </w:rPr>
        <w:t>提高教材编写质量。</w:t>
      </w:r>
      <w:r>
        <w:rPr>
          <w:rFonts w:hint="eastAsia" w:ascii="仿宋" w:hAnsi="仿宋" w:eastAsia="仿宋" w:cs="宋体"/>
          <w:color w:val="000000"/>
          <w:kern w:val="0"/>
          <w:sz w:val="32"/>
          <w:szCs w:val="32"/>
        </w:rPr>
        <w:t>鼓励教学名师、高水平专家主编或参编教材。国家与省级教学名师或国家级精品课程主持人主编教材，以及特色专业、一流专业建设点主要专业课程教材，在同等条件下优先立项。</w:t>
      </w:r>
    </w:p>
    <w:p w14:paraId="6BEF9996">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以教育部公布的《普通高等学校本科专业目录（</w:t>
      </w:r>
      <w:r>
        <w:rPr>
          <w:rFonts w:ascii="仿宋" w:hAnsi="仿宋" w:eastAsia="仿宋" w:cs="宋体"/>
          <w:color w:val="000000"/>
          <w:kern w:val="0"/>
          <w:sz w:val="32"/>
          <w:szCs w:val="32"/>
        </w:rPr>
        <w:t>20</w:t>
      </w:r>
      <w:r>
        <w:rPr>
          <w:rFonts w:hint="eastAsia" w:ascii="仿宋" w:hAnsi="仿宋" w:eastAsia="仿宋" w:cs="宋体"/>
          <w:color w:val="000000"/>
          <w:kern w:val="0"/>
          <w:sz w:val="32"/>
          <w:szCs w:val="32"/>
        </w:rPr>
        <w:t>20</w:t>
      </w:r>
      <w:r>
        <w:rPr>
          <w:rFonts w:ascii="仿宋" w:hAnsi="仿宋" w:eastAsia="仿宋" w:cs="宋体"/>
          <w:color w:val="000000"/>
          <w:kern w:val="0"/>
          <w:sz w:val="32"/>
          <w:szCs w:val="32"/>
        </w:rPr>
        <w:t>年）》为依据，及时更新教材内容和结构。</w:t>
      </w:r>
    </w:p>
    <w:p w14:paraId="7D33E25D">
      <w:pPr>
        <w:widowControl/>
        <w:spacing w:line="560" w:lineRule="exact"/>
        <w:ind w:firstLine="643" w:firstLineChars="200"/>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三、申请范围和要求</w:t>
      </w:r>
    </w:p>
    <w:p w14:paraId="3568C650">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申请一流教材可为新编教材、修订教材或数字教材，</w:t>
      </w:r>
      <w:r>
        <w:rPr>
          <w:rFonts w:ascii="仿宋" w:hAnsi="仿宋" w:eastAsia="仿宋" w:cs="宋体"/>
          <w:color w:val="000000"/>
          <w:kern w:val="0"/>
          <w:sz w:val="32"/>
          <w:szCs w:val="32"/>
        </w:rPr>
        <w:t>教材要充分吸收和应用现代教育信息化的成果，建立数字化教学资源。鼓励编写数字化等新介质教材</w:t>
      </w:r>
      <w:r>
        <w:rPr>
          <w:rFonts w:hint="eastAsia" w:ascii="仿宋" w:hAnsi="仿宋" w:eastAsia="仿宋" w:cs="宋体"/>
          <w:color w:val="000000"/>
          <w:kern w:val="0"/>
          <w:sz w:val="32"/>
          <w:szCs w:val="32"/>
        </w:rPr>
        <w:t>。</w:t>
      </w:r>
    </w:p>
    <w:p w14:paraId="58723711">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新编教材：重点推荐反映当代科学技术、文化的最新成果和成就，反映区域经济社会发展需要，在内容和体系上有明显特色的教材；教学改革力度较大的教材以及新兴、交叉学科、专业的教材；体现改革创新的实验教学教材和实习实训类教材；解决教学急需的教材。</w:t>
      </w:r>
    </w:p>
    <w:p w14:paraId="5D1D2977">
      <w:pPr>
        <w:widowControl/>
        <w:spacing w:line="560" w:lineRule="exact"/>
        <w:ind w:firstLine="640" w:firstLineChars="200"/>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2</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修订教材：已正式出版，编写质量高，使用、推广效果好的教材，可根据科学技术发展、学科发展和教学改革的需要，申请修订完善。</w:t>
      </w:r>
    </w:p>
    <w:p w14:paraId="3E4D26B1">
      <w:pPr>
        <w:topLinePunct/>
        <w:spacing w:line="560" w:lineRule="exact"/>
        <w:ind w:firstLine="640" w:firstLineChars="200"/>
        <w:jc w:val="both"/>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3</w:t>
      </w:r>
      <w:r>
        <w:rPr>
          <w:rFonts w:hint="eastAsia" w:ascii="仿宋" w:hAnsi="仿宋" w:eastAsia="仿宋" w:cs="宋体"/>
          <w:color w:val="000000"/>
          <w:kern w:val="0"/>
          <w:sz w:val="32"/>
          <w:szCs w:val="32"/>
          <w:lang w:val="en-US" w:eastAsia="zh-CN"/>
        </w:rPr>
        <w:t>.</w:t>
      </w:r>
      <w:r>
        <w:rPr>
          <w:rFonts w:hint="eastAsia" w:ascii="仿宋" w:hAnsi="仿宋" w:eastAsia="仿宋" w:cs="宋体"/>
          <w:color w:val="000000"/>
          <w:kern w:val="0"/>
          <w:sz w:val="32"/>
          <w:szCs w:val="32"/>
        </w:rPr>
        <w:t>数</w:t>
      </w:r>
      <w:r>
        <w:rPr>
          <w:rFonts w:ascii="Times New Roman" w:eastAsia="仿宋" w:cs="仿宋_GB2312"/>
          <w:color w:val="auto"/>
          <w:sz w:val="32"/>
          <w:szCs w:val="32"/>
          <w:lang w:bidi="ar"/>
        </w:rPr>
        <w:t>字教材</w:t>
      </w:r>
      <w:r>
        <w:rPr>
          <w:rFonts w:hint="eastAsia" w:ascii="Times New Roman" w:eastAsia="仿宋" w:cs="仿宋_GB2312"/>
          <w:color w:val="auto"/>
          <w:sz w:val="32"/>
          <w:szCs w:val="32"/>
          <w:lang w:eastAsia="zh-CN" w:bidi="ar"/>
        </w:rPr>
        <w:t>：</w:t>
      </w:r>
      <w:r>
        <w:rPr>
          <w:rFonts w:ascii="Times New Roman" w:eastAsia="仿宋" w:cs="仿宋_GB2312"/>
          <w:color w:val="auto"/>
          <w:sz w:val="32"/>
          <w:szCs w:val="32"/>
          <w:lang w:bidi="ar"/>
        </w:rPr>
        <w:t>反映先进教学理念，充分利用信息技术，综合运用多种介质，开发建设可听、可视、可练、可互动的新形态教材，具有时效性、互动性、实用性。资源不存在版权问题。</w:t>
      </w:r>
    </w:p>
    <w:p w14:paraId="15AE75CC">
      <w:pPr>
        <w:widowControl/>
        <w:spacing w:line="560" w:lineRule="exact"/>
        <w:ind w:firstLine="643" w:firstLineChars="200"/>
        <w:rPr>
          <w:rFonts w:ascii="仿宋" w:hAnsi="仿宋" w:eastAsia="仿宋" w:cs="宋体"/>
          <w:b/>
          <w:bCs/>
          <w:color w:val="000000"/>
          <w:kern w:val="0"/>
          <w:sz w:val="32"/>
          <w:szCs w:val="32"/>
        </w:rPr>
      </w:pPr>
      <w:r>
        <w:rPr>
          <w:rFonts w:ascii="仿宋" w:hAnsi="仿宋" w:eastAsia="仿宋" w:cs="宋体"/>
          <w:b/>
          <w:bCs/>
          <w:color w:val="000000"/>
          <w:kern w:val="0"/>
          <w:sz w:val="32"/>
          <w:szCs w:val="32"/>
        </w:rPr>
        <w:t>四、教材的出版</w:t>
      </w:r>
    </w:p>
    <w:p w14:paraId="70F8F1AD">
      <w:pPr>
        <w:widowControl/>
        <w:spacing w:line="560" w:lineRule="exact"/>
        <w:ind w:firstLine="640" w:firstLineChars="200"/>
        <w:rPr>
          <w:rFonts w:ascii="仿宋" w:hAnsi="仿宋" w:eastAsia="仿宋" w:cs="宋体"/>
          <w:color w:val="000000"/>
          <w:kern w:val="0"/>
          <w:sz w:val="32"/>
          <w:szCs w:val="32"/>
        </w:rPr>
      </w:pPr>
      <w:r>
        <w:rPr>
          <w:rFonts w:ascii="仿宋" w:hAnsi="仿宋" w:eastAsia="仿宋" w:cs="宋体"/>
          <w:color w:val="000000"/>
          <w:kern w:val="0"/>
          <w:sz w:val="32"/>
          <w:szCs w:val="32"/>
        </w:rPr>
        <w:t>为</w:t>
      </w:r>
      <w:r>
        <w:rPr>
          <w:rFonts w:hint="eastAsia" w:ascii="仿宋" w:hAnsi="仿宋" w:eastAsia="仿宋" w:cs="宋体"/>
          <w:color w:val="000000"/>
          <w:kern w:val="0"/>
          <w:sz w:val="32"/>
          <w:szCs w:val="32"/>
        </w:rPr>
        <w:t>提升</w:t>
      </w:r>
      <w:r>
        <w:rPr>
          <w:rFonts w:ascii="仿宋" w:hAnsi="仿宋" w:eastAsia="仿宋" w:cs="宋体"/>
          <w:color w:val="000000"/>
          <w:kern w:val="0"/>
          <w:sz w:val="32"/>
          <w:szCs w:val="32"/>
        </w:rPr>
        <w:t>教材</w:t>
      </w:r>
      <w:r>
        <w:rPr>
          <w:rFonts w:hint="eastAsia" w:ascii="仿宋" w:hAnsi="仿宋" w:eastAsia="仿宋" w:cs="宋体"/>
          <w:color w:val="000000"/>
          <w:kern w:val="0"/>
          <w:sz w:val="32"/>
          <w:szCs w:val="32"/>
        </w:rPr>
        <w:t>质量，优先支持与声誉较好的出版社联合申请的教材建设项目。</w:t>
      </w:r>
    </w:p>
    <w:p w14:paraId="288198F2">
      <w:pPr>
        <w:widowControl/>
        <w:spacing w:line="560" w:lineRule="exact"/>
        <w:ind w:firstLine="643" w:firstLineChars="200"/>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五、申请要求</w:t>
      </w:r>
    </w:p>
    <w:p w14:paraId="46D049F8">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1.同一主编、同一课程、不同出版单位的教材选题，不可重复申请。</w:t>
      </w:r>
    </w:p>
    <w:p w14:paraId="15D7DBBB">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立项教材建设周期为两年。申请人应在建设期内完成教材修订或编写。建设期满将进行验收。未通过验收的教材，应按验收意见在规定期限内完成修改，并再次提交验收。若仍达不到规定要求，将取消其教材建设项目立项资格。</w:t>
      </w:r>
    </w:p>
    <w:p w14:paraId="1B82E5A8">
      <w:pPr>
        <w:widowControl/>
        <w:spacing w:line="560" w:lineRule="exact"/>
        <w:ind w:firstLine="643" w:firstLineChars="200"/>
        <w:rPr>
          <w:rFonts w:hint="eastAsia" w:ascii="仿宋" w:hAnsi="仿宋" w:eastAsia="仿宋" w:cs="宋体"/>
          <w:b/>
          <w:bCs/>
          <w:color w:val="000000"/>
          <w:kern w:val="0"/>
          <w:sz w:val="32"/>
          <w:szCs w:val="32"/>
        </w:rPr>
      </w:pPr>
      <w:bookmarkStart w:id="34" w:name="_Toc32508"/>
      <w:bookmarkStart w:id="35" w:name="_Toc121316392"/>
      <w:bookmarkStart w:id="36" w:name="_Toc30932"/>
      <w:r>
        <w:rPr>
          <w:rFonts w:hint="eastAsia" w:ascii="仿宋" w:hAnsi="仿宋" w:eastAsia="仿宋" w:cs="宋体"/>
          <w:b/>
          <w:bCs/>
          <w:color w:val="000000"/>
          <w:kern w:val="0"/>
          <w:sz w:val="32"/>
          <w:szCs w:val="32"/>
          <w:lang w:val="en-US" w:eastAsia="zh-CN"/>
        </w:rPr>
        <w:t>六</w:t>
      </w:r>
      <w:r>
        <w:rPr>
          <w:rFonts w:hint="eastAsia" w:ascii="仿宋" w:hAnsi="仿宋" w:eastAsia="仿宋" w:cs="宋体"/>
          <w:b/>
          <w:bCs/>
          <w:color w:val="000000"/>
          <w:kern w:val="0"/>
          <w:sz w:val="32"/>
          <w:szCs w:val="32"/>
        </w:rPr>
        <w:t>、验收标准</w:t>
      </w:r>
    </w:p>
    <w:p w14:paraId="22F888E1">
      <w:pPr>
        <w:widowControl/>
        <w:spacing w:line="560" w:lineRule="exact"/>
        <w:ind w:firstLine="640" w:firstLineChars="200"/>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立项教材（含数字化教材）应在规定的建设周期内正式出版。</w:t>
      </w:r>
    </w:p>
    <w:tbl>
      <w:tblPr>
        <w:tblStyle w:val="14"/>
        <w:tblW w:w="9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0"/>
        <w:gridCol w:w="8080"/>
      </w:tblGrid>
      <w:tr w14:paraId="3180B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1300" w:type="dxa"/>
            <w:shd w:val="clear" w:color="auto" w:fill="auto"/>
            <w:noWrap/>
            <w:vAlign w:val="center"/>
          </w:tcPr>
          <w:p w14:paraId="17188ED0">
            <w:pPr>
              <w:widowControl/>
              <w:autoSpaceDE/>
              <w:autoSpaceDN/>
              <w:adjustRightInd/>
              <w:jc w:val="center"/>
              <w:rPr>
                <w:rFonts w:ascii="宋体" w:hAnsi="宋体" w:eastAsia="宋体" w:cs="宋体"/>
                <w:b/>
                <w:color w:val="auto"/>
                <w:sz w:val="28"/>
                <w:szCs w:val="28"/>
              </w:rPr>
            </w:pPr>
            <w:r>
              <w:rPr>
                <w:rFonts w:ascii="仿宋" w:hAnsi="仿宋" w:eastAsia="仿宋" w:cs="仿宋"/>
                <w:b/>
                <w:bCs/>
                <w:color w:val="auto"/>
                <w:spacing w:val="1"/>
                <w:sz w:val="24"/>
                <w:szCs w:val="24"/>
                <w:lang w:eastAsia="en-US"/>
              </w:rPr>
              <w:t>指标</w:t>
            </w:r>
          </w:p>
        </w:tc>
        <w:tc>
          <w:tcPr>
            <w:tcW w:w="8080" w:type="dxa"/>
            <w:vAlign w:val="center"/>
          </w:tcPr>
          <w:p w14:paraId="242B7052">
            <w:pPr>
              <w:widowControl/>
              <w:autoSpaceDE/>
              <w:autoSpaceDN/>
              <w:adjustRightInd/>
              <w:jc w:val="center"/>
              <w:rPr>
                <w:rFonts w:ascii="宋体" w:hAnsi="宋体" w:eastAsia="宋体" w:cs="宋体"/>
                <w:b/>
                <w:color w:val="auto"/>
                <w:sz w:val="28"/>
                <w:szCs w:val="28"/>
              </w:rPr>
            </w:pPr>
            <w:r>
              <w:rPr>
                <w:rFonts w:ascii="仿宋" w:hAnsi="仿宋" w:eastAsia="仿宋" w:cs="仿宋"/>
                <w:b/>
                <w:bCs/>
                <w:color w:val="auto"/>
                <w:spacing w:val="1"/>
                <w:sz w:val="24"/>
                <w:szCs w:val="24"/>
                <w:lang w:eastAsia="en-US"/>
              </w:rPr>
              <w:t>验收标准</w:t>
            </w:r>
          </w:p>
        </w:tc>
      </w:tr>
      <w:tr w14:paraId="1890E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300" w:type="dxa"/>
            <w:vMerge w:val="restart"/>
            <w:shd w:val="clear" w:color="auto" w:fill="auto"/>
            <w:noWrap/>
            <w:vAlign w:val="center"/>
          </w:tcPr>
          <w:p w14:paraId="327DC49D">
            <w:pPr>
              <w:widowControl/>
              <w:autoSpaceDE/>
              <w:autoSpaceDN/>
              <w:adjustRightInd/>
              <w:rPr>
                <w:rFonts w:ascii="宋体" w:hAnsi="宋体" w:eastAsia="宋体" w:cs="宋体"/>
                <w:color w:val="auto"/>
              </w:rPr>
            </w:pPr>
            <w:r>
              <w:rPr>
                <w:rFonts w:ascii="仿宋" w:hAnsi="仿宋" w:eastAsia="仿宋" w:cs="仿宋"/>
                <w:b/>
                <w:bCs/>
                <w:color w:val="auto"/>
                <w:spacing w:val="1"/>
                <w:sz w:val="24"/>
                <w:szCs w:val="24"/>
                <w:lang w:eastAsia="en-US"/>
              </w:rPr>
              <w:t>课程思政</w:t>
            </w:r>
          </w:p>
        </w:tc>
        <w:tc>
          <w:tcPr>
            <w:tcW w:w="8080" w:type="dxa"/>
          </w:tcPr>
          <w:p w14:paraId="1DEC9806">
            <w:pPr>
              <w:widowControl/>
              <w:autoSpaceDE/>
              <w:autoSpaceDN/>
              <w:adjustRightInd/>
              <w:rPr>
                <w:rFonts w:ascii="宋体" w:hAnsi="宋体" w:eastAsia="宋体" w:cs="宋体"/>
                <w:color w:val="auto"/>
              </w:rPr>
            </w:pPr>
            <w:r>
              <w:rPr>
                <w:rFonts w:ascii="仿宋" w:hAnsi="仿宋" w:eastAsia="仿宋" w:cs="仿宋"/>
                <w:color w:val="auto"/>
                <w:spacing w:val="-1"/>
                <w:sz w:val="24"/>
                <w:szCs w:val="24"/>
              </w:rPr>
              <w:t>立德树人，政治思想导向正确，体现社会主义核心价值观，将专业精神、职业精神和工匠精神融入教材内容；教育理念体现当前国家职业教育教学改革方向和精神</w:t>
            </w:r>
          </w:p>
        </w:tc>
      </w:tr>
      <w:tr w14:paraId="60C34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1300" w:type="dxa"/>
            <w:vMerge w:val="continue"/>
            <w:vAlign w:val="center"/>
          </w:tcPr>
          <w:p w14:paraId="092C3029">
            <w:pPr>
              <w:widowControl/>
              <w:autoSpaceDE/>
              <w:autoSpaceDN/>
              <w:adjustRightInd/>
              <w:rPr>
                <w:rFonts w:ascii="宋体" w:hAnsi="宋体" w:eastAsia="宋体" w:cs="宋体"/>
                <w:color w:val="auto"/>
              </w:rPr>
            </w:pPr>
          </w:p>
        </w:tc>
        <w:tc>
          <w:tcPr>
            <w:tcW w:w="8080" w:type="dxa"/>
          </w:tcPr>
          <w:p w14:paraId="7F404C7D">
            <w:pPr>
              <w:widowControl/>
              <w:autoSpaceDE/>
              <w:autoSpaceDN/>
              <w:adjustRightInd/>
              <w:rPr>
                <w:rFonts w:ascii="宋体" w:hAnsi="宋体" w:eastAsia="宋体" w:cs="宋体"/>
                <w:color w:val="auto"/>
              </w:rPr>
            </w:pPr>
            <w:r>
              <w:rPr>
                <w:rFonts w:ascii="仿宋" w:hAnsi="仿宋" w:eastAsia="仿宋" w:cs="仿宋"/>
                <w:color w:val="auto"/>
                <w:spacing w:val="-1"/>
                <w:sz w:val="24"/>
                <w:szCs w:val="24"/>
              </w:rPr>
              <w:t>依据国家课程改革精神，培养学生发展的核心素养；体现正确的办学理念；注重职业精神的培养；体现先进的教育理念</w:t>
            </w:r>
          </w:p>
        </w:tc>
      </w:tr>
      <w:tr w14:paraId="5F224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1300" w:type="dxa"/>
            <w:vMerge w:val="restart"/>
            <w:shd w:val="clear" w:color="auto" w:fill="auto"/>
            <w:noWrap/>
            <w:vAlign w:val="center"/>
          </w:tcPr>
          <w:p w14:paraId="3FBD4287">
            <w:pPr>
              <w:widowControl/>
              <w:autoSpaceDE/>
              <w:autoSpaceDN/>
              <w:adjustRightInd/>
              <w:rPr>
                <w:rFonts w:ascii="宋体" w:hAnsi="宋体" w:eastAsia="宋体" w:cs="宋体"/>
                <w:color w:val="auto"/>
              </w:rPr>
            </w:pPr>
            <w:r>
              <w:rPr>
                <w:rFonts w:ascii="仿宋" w:hAnsi="仿宋" w:eastAsia="仿宋" w:cs="仿宋"/>
                <w:b/>
                <w:bCs/>
                <w:color w:val="auto"/>
                <w:spacing w:val="1"/>
                <w:sz w:val="24"/>
                <w:szCs w:val="24"/>
                <w:lang w:eastAsia="en-US"/>
              </w:rPr>
              <w:t>教学内容</w:t>
            </w:r>
          </w:p>
        </w:tc>
        <w:tc>
          <w:tcPr>
            <w:tcW w:w="8080" w:type="dxa"/>
          </w:tcPr>
          <w:p w14:paraId="5AADF87A">
            <w:pPr>
              <w:widowControl/>
              <w:autoSpaceDE/>
              <w:autoSpaceDN/>
              <w:adjustRightInd/>
              <w:rPr>
                <w:rFonts w:ascii="仿宋" w:hAnsi="仿宋" w:eastAsia="仿宋" w:cs="仿宋"/>
                <w:color w:val="auto"/>
                <w:spacing w:val="-1"/>
                <w:sz w:val="24"/>
                <w:szCs w:val="24"/>
              </w:rPr>
            </w:pPr>
            <w:r>
              <w:rPr>
                <w:rFonts w:ascii="仿宋" w:hAnsi="仿宋" w:eastAsia="仿宋" w:cs="仿宋"/>
                <w:color w:val="auto"/>
                <w:spacing w:val="-1"/>
                <w:sz w:val="24"/>
                <w:szCs w:val="24"/>
              </w:rPr>
              <w:t>对基本理论和基本概念的叙述要准确无误，无科学性错误；知识体系应完整，知识点的推进能够做到循序渐进，符合知识的传承规律</w:t>
            </w:r>
          </w:p>
        </w:tc>
      </w:tr>
      <w:tr w14:paraId="6FCFD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1300" w:type="dxa"/>
            <w:vMerge w:val="continue"/>
            <w:vAlign w:val="center"/>
          </w:tcPr>
          <w:p w14:paraId="41DB6903">
            <w:pPr>
              <w:widowControl/>
              <w:autoSpaceDE/>
              <w:autoSpaceDN/>
              <w:adjustRightInd/>
              <w:rPr>
                <w:rFonts w:ascii="宋体" w:hAnsi="宋体" w:eastAsia="宋体" w:cs="宋体"/>
                <w:color w:val="auto"/>
              </w:rPr>
            </w:pPr>
          </w:p>
        </w:tc>
        <w:tc>
          <w:tcPr>
            <w:tcW w:w="8080" w:type="dxa"/>
          </w:tcPr>
          <w:p w14:paraId="19586964">
            <w:pPr>
              <w:widowControl/>
              <w:autoSpaceDE/>
              <w:autoSpaceDN/>
              <w:adjustRightInd/>
              <w:rPr>
                <w:rFonts w:ascii="仿宋" w:hAnsi="仿宋" w:eastAsia="仿宋" w:cs="仿宋"/>
                <w:color w:val="auto"/>
                <w:spacing w:val="-1"/>
                <w:sz w:val="24"/>
                <w:szCs w:val="24"/>
              </w:rPr>
            </w:pPr>
            <w:r>
              <w:rPr>
                <w:rFonts w:ascii="仿宋" w:hAnsi="仿宋" w:eastAsia="仿宋" w:cs="仿宋"/>
                <w:color w:val="auto"/>
                <w:spacing w:val="-1"/>
                <w:sz w:val="24"/>
                <w:szCs w:val="24"/>
              </w:rPr>
              <w:t>教材内容的选取要适应一线教学需求和学情，要与学生的基础相适应，要与职业岗位需求相适应，要与学生的可持续发展相适应，能够适应产业结构调整和科技进步的需要</w:t>
            </w:r>
          </w:p>
        </w:tc>
      </w:tr>
      <w:tr w14:paraId="78830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300" w:type="dxa"/>
            <w:vMerge w:val="restart"/>
            <w:shd w:val="clear" w:color="auto" w:fill="auto"/>
            <w:noWrap/>
            <w:vAlign w:val="center"/>
          </w:tcPr>
          <w:p w14:paraId="13998F35">
            <w:pPr>
              <w:widowControl/>
              <w:autoSpaceDE/>
              <w:autoSpaceDN/>
              <w:adjustRightInd/>
              <w:rPr>
                <w:rFonts w:ascii="宋体" w:hAnsi="宋体" w:eastAsia="宋体" w:cs="宋体"/>
                <w:color w:val="auto"/>
              </w:rPr>
            </w:pPr>
            <w:r>
              <w:rPr>
                <w:rFonts w:ascii="仿宋" w:hAnsi="仿宋" w:eastAsia="仿宋" w:cs="仿宋"/>
                <w:b/>
                <w:bCs/>
                <w:color w:val="auto"/>
                <w:spacing w:val="1"/>
                <w:sz w:val="24"/>
                <w:szCs w:val="24"/>
                <w:lang w:eastAsia="en-US"/>
              </w:rPr>
              <w:t>体系结构</w:t>
            </w:r>
          </w:p>
        </w:tc>
        <w:tc>
          <w:tcPr>
            <w:tcW w:w="8080" w:type="dxa"/>
          </w:tcPr>
          <w:p w14:paraId="0517AE36">
            <w:pPr>
              <w:widowControl/>
              <w:autoSpaceDE/>
              <w:autoSpaceDN/>
              <w:adjustRightInd/>
              <w:rPr>
                <w:rFonts w:ascii="仿宋" w:hAnsi="仿宋" w:eastAsia="仿宋" w:cs="仿宋"/>
                <w:color w:val="auto"/>
                <w:spacing w:val="-1"/>
                <w:sz w:val="24"/>
                <w:szCs w:val="24"/>
              </w:rPr>
            </w:pPr>
            <w:r>
              <w:rPr>
                <w:rFonts w:ascii="仿宋" w:hAnsi="仿宋" w:eastAsia="仿宋" w:cs="仿宋"/>
                <w:color w:val="auto"/>
                <w:spacing w:val="-1"/>
                <w:sz w:val="24"/>
                <w:szCs w:val="24"/>
              </w:rPr>
              <w:t>教材的框架结构具有完整性，知识体系应具有系统性，知识关联应具有逻辑性</w:t>
            </w:r>
          </w:p>
        </w:tc>
      </w:tr>
      <w:tr w14:paraId="6802A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1300" w:type="dxa"/>
            <w:vMerge w:val="continue"/>
            <w:vAlign w:val="center"/>
          </w:tcPr>
          <w:p w14:paraId="5668D4E5">
            <w:pPr>
              <w:widowControl/>
              <w:autoSpaceDE/>
              <w:autoSpaceDN/>
              <w:adjustRightInd/>
              <w:rPr>
                <w:rFonts w:ascii="宋体" w:hAnsi="宋体" w:eastAsia="宋体" w:cs="宋体"/>
                <w:color w:val="auto"/>
              </w:rPr>
            </w:pPr>
          </w:p>
        </w:tc>
        <w:tc>
          <w:tcPr>
            <w:tcW w:w="8080" w:type="dxa"/>
          </w:tcPr>
          <w:p w14:paraId="0EBC4729">
            <w:pPr>
              <w:widowControl/>
              <w:autoSpaceDE/>
              <w:autoSpaceDN/>
              <w:adjustRightInd/>
              <w:rPr>
                <w:rFonts w:ascii="仿宋" w:hAnsi="仿宋" w:eastAsia="仿宋" w:cs="仿宋"/>
                <w:color w:val="auto"/>
                <w:spacing w:val="-1"/>
                <w:sz w:val="24"/>
                <w:szCs w:val="24"/>
              </w:rPr>
            </w:pPr>
            <w:r>
              <w:rPr>
                <w:rFonts w:ascii="仿宋" w:hAnsi="仿宋" w:eastAsia="仿宋" w:cs="仿宋"/>
                <w:color w:val="auto"/>
                <w:spacing w:val="-1"/>
                <w:sz w:val="24"/>
                <w:szCs w:val="24"/>
              </w:rPr>
              <w:t>教材的知识体系符合学生的认知规律，教学理念应符合职业教育规律，思维方式应符合时代进步的发展规律，技能培养应符合技术技能型人才的成长规律</w:t>
            </w:r>
          </w:p>
        </w:tc>
      </w:tr>
      <w:tr w14:paraId="5A31D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300" w:type="dxa"/>
            <w:vMerge w:val="restart"/>
            <w:shd w:val="clear" w:color="auto" w:fill="auto"/>
            <w:noWrap/>
            <w:vAlign w:val="center"/>
          </w:tcPr>
          <w:p w14:paraId="49D792F3">
            <w:pPr>
              <w:widowControl/>
              <w:autoSpaceDE/>
              <w:autoSpaceDN/>
              <w:adjustRightInd/>
              <w:rPr>
                <w:rFonts w:ascii="宋体" w:hAnsi="宋体" w:eastAsia="宋体" w:cs="宋体"/>
                <w:color w:val="auto"/>
              </w:rPr>
            </w:pPr>
            <w:r>
              <w:rPr>
                <w:rFonts w:ascii="仿宋" w:hAnsi="仿宋" w:eastAsia="仿宋" w:cs="仿宋"/>
                <w:b/>
                <w:bCs/>
                <w:color w:val="auto"/>
                <w:spacing w:val="1"/>
                <w:sz w:val="24"/>
                <w:szCs w:val="24"/>
                <w:lang w:eastAsia="en-US"/>
              </w:rPr>
              <w:t>呈现与载体形式</w:t>
            </w:r>
          </w:p>
        </w:tc>
        <w:tc>
          <w:tcPr>
            <w:tcW w:w="8080" w:type="dxa"/>
          </w:tcPr>
          <w:p w14:paraId="6E2D480B">
            <w:pPr>
              <w:widowControl/>
              <w:autoSpaceDE/>
              <w:autoSpaceDN/>
              <w:adjustRightInd/>
              <w:rPr>
                <w:rFonts w:ascii="仿宋" w:hAnsi="仿宋" w:eastAsia="仿宋" w:cs="仿宋"/>
                <w:color w:val="auto"/>
                <w:spacing w:val="-1"/>
                <w:sz w:val="24"/>
                <w:szCs w:val="24"/>
              </w:rPr>
            </w:pPr>
            <w:r>
              <w:rPr>
                <w:rFonts w:ascii="仿宋" w:hAnsi="仿宋" w:eastAsia="仿宋" w:cs="仿宋"/>
                <w:color w:val="auto"/>
                <w:spacing w:val="-1"/>
                <w:sz w:val="24"/>
                <w:szCs w:val="24"/>
              </w:rPr>
              <w:t>文字简洁易懂，图文设计编排配合得当，名词术语、文字、公式等符合国家出版规范，印刷和装帧形式有效服务于理解和接受知识</w:t>
            </w:r>
          </w:p>
        </w:tc>
      </w:tr>
      <w:tr w14:paraId="45E16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300" w:type="dxa"/>
            <w:vMerge w:val="continue"/>
            <w:vAlign w:val="center"/>
          </w:tcPr>
          <w:p w14:paraId="442D875C">
            <w:pPr>
              <w:widowControl/>
              <w:autoSpaceDE/>
              <w:autoSpaceDN/>
              <w:adjustRightInd/>
              <w:rPr>
                <w:rFonts w:ascii="宋体" w:hAnsi="宋体" w:eastAsia="宋体" w:cs="宋体"/>
                <w:color w:val="auto"/>
              </w:rPr>
            </w:pPr>
          </w:p>
        </w:tc>
        <w:tc>
          <w:tcPr>
            <w:tcW w:w="8080" w:type="dxa"/>
          </w:tcPr>
          <w:p w14:paraId="21AEB1A3">
            <w:pPr>
              <w:widowControl/>
              <w:autoSpaceDE/>
              <w:autoSpaceDN/>
              <w:adjustRightInd/>
              <w:rPr>
                <w:rFonts w:ascii="仿宋" w:hAnsi="仿宋" w:eastAsia="仿宋" w:cs="仿宋"/>
                <w:color w:val="auto"/>
                <w:spacing w:val="-1"/>
                <w:sz w:val="24"/>
                <w:szCs w:val="24"/>
              </w:rPr>
            </w:pPr>
            <w:r>
              <w:rPr>
                <w:rFonts w:ascii="仿宋" w:hAnsi="仿宋" w:eastAsia="仿宋" w:cs="仿宋"/>
                <w:color w:val="auto"/>
                <w:spacing w:val="-1"/>
                <w:sz w:val="24"/>
                <w:szCs w:val="24"/>
              </w:rPr>
              <w:t>采用适宜的数字教学资源表现知识内容，建立支持教和学各个环节的完备的资源库，多媒体素材质量高、平台界面友好、易于应用和传播</w:t>
            </w:r>
          </w:p>
        </w:tc>
      </w:tr>
    </w:tbl>
    <w:p w14:paraId="2D033068">
      <w:pPr>
        <w:widowControl/>
        <w:spacing w:line="560" w:lineRule="exact"/>
        <w:ind w:firstLine="640" w:firstLineChars="200"/>
        <w:rPr>
          <w:rFonts w:hint="eastAsia" w:ascii="仿宋" w:hAnsi="仿宋" w:eastAsia="仿宋" w:cs="宋体"/>
          <w:color w:val="000000"/>
          <w:kern w:val="0"/>
          <w:sz w:val="32"/>
          <w:szCs w:val="32"/>
        </w:rPr>
      </w:pPr>
    </w:p>
    <w:p w14:paraId="44FB8052">
      <w:pPr>
        <w:pStyle w:val="2"/>
        <w:spacing w:line="560" w:lineRule="exact"/>
        <w:jc w:val="both"/>
        <w:rPr>
          <w:rFonts w:hint="eastAsia" w:ascii="黑体" w:hAnsi="黑体" w:eastAsia="黑体"/>
          <w:b w:val="0"/>
          <w:kern w:val="0"/>
          <w:sz w:val="32"/>
          <w:szCs w:val="32"/>
        </w:rPr>
      </w:pPr>
    </w:p>
    <w:p w14:paraId="714AB978">
      <w:pPr>
        <w:pStyle w:val="2"/>
        <w:spacing w:line="560" w:lineRule="exact"/>
        <w:ind w:firstLine="640" w:firstLineChars="200"/>
        <w:jc w:val="center"/>
        <w:rPr>
          <w:rFonts w:ascii="黑体" w:hAnsi="黑体" w:eastAsia="黑体"/>
          <w:b w:val="0"/>
          <w:kern w:val="0"/>
          <w:sz w:val="32"/>
          <w:szCs w:val="32"/>
        </w:rPr>
      </w:pPr>
      <w:bookmarkStart w:id="37" w:name="_Toc32320"/>
      <w:r>
        <w:rPr>
          <w:rFonts w:hint="eastAsia" w:ascii="黑体" w:hAnsi="黑体" w:eastAsia="黑体"/>
          <w:b w:val="0"/>
          <w:kern w:val="0"/>
          <w:sz w:val="32"/>
          <w:szCs w:val="32"/>
        </w:rPr>
        <w:t>3.教育教学改革研究</w:t>
      </w:r>
      <w:bookmarkEnd w:id="34"/>
      <w:bookmarkEnd w:id="35"/>
      <w:bookmarkEnd w:id="36"/>
      <w:bookmarkEnd w:id="37"/>
    </w:p>
    <w:p w14:paraId="0CC590C5">
      <w:pPr>
        <w:pStyle w:val="13"/>
        <w:spacing w:before="0" w:beforeAutospacing="0" w:after="0" w:afterAutospacing="0" w:line="560" w:lineRule="exact"/>
        <w:ind w:firstLine="643" w:firstLineChars="200"/>
        <w:jc w:val="both"/>
        <w:rPr>
          <w:rFonts w:ascii="仿宋" w:hAnsi="仿宋" w:eastAsia="仿宋" w:cs="Times New Roman"/>
          <w:b/>
          <w:bCs/>
          <w:kern w:val="2"/>
          <w:sz w:val="32"/>
          <w:szCs w:val="32"/>
        </w:rPr>
      </w:pPr>
      <w:r>
        <w:rPr>
          <w:rFonts w:hint="eastAsia" w:ascii="仿宋" w:hAnsi="仿宋" w:eastAsia="仿宋" w:cs="Times New Roman"/>
          <w:b/>
          <w:bCs/>
          <w:kern w:val="2"/>
          <w:sz w:val="32"/>
          <w:szCs w:val="32"/>
        </w:rPr>
        <w:t>一、立项目标</w:t>
      </w:r>
    </w:p>
    <w:p w14:paraId="79EEC2CD">
      <w:pPr>
        <w:widowControl/>
        <w:adjustRightIn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通过开展教学改革研究工作，引导我校广大教师和教学管理人员，结合学校教育改革发展实际和学校教学改革、人才培养工作实际，深入研究高等教育可持续发展过程中的新课题、新情况、新要求，以理论指导实践，进一步深化教学改革，推进教学创新，形成一批有一定深度和推广价值的教学成果，为提高我校教育质量奠定坚实的理论和实践基础。</w:t>
      </w:r>
    </w:p>
    <w:p w14:paraId="5E11AC45">
      <w:pPr>
        <w:pStyle w:val="13"/>
        <w:spacing w:before="0" w:beforeAutospacing="0" w:after="0" w:afterAutospacing="0" w:line="560" w:lineRule="exact"/>
        <w:ind w:firstLine="643" w:firstLineChars="200"/>
        <w:jc w:val="both"/>
        <w:rPr>
          <w:rFonts w:ascii="仿宋" w:hAnsi="仿宋" w:eastAsia="仿宋" w:cs="Times New Roman"/>
          <w:b/>
          <w:bCs/>
          <w:kern w:val="2"/>
          <w:sz w:val="32"/>
          <w:szCs w:val="32"/>
        </w:rPr>
      </w:pPr>
      <w:r>
        <w:rPr>
          <w:rFonts w:hint="eastAsia" w:ascii="仿宋" w:hAnsi="仿宋" w:eastAsia="仿宋" w:cs="Times New Roman"/>
          <w:b/>
          <w:bCs/>
          <w:kern w:val="2"/>
          <w:sz w:val="32"/>
          <w:szCs w:val="32"/>
        </w:rPr>
        <w:t>二、研究内容</w:t>
      </w:r>
    </w:p>
    <w:p w14:paraId="24650712">
      <w:pPr>
        <w:widowControl/>
        <w:adjustRightInd w:val="0"/>
        <w:spacing w:line="560" w:lineRule="exact"/>
        <w:ind w:firstLine="640" w:firstLineChars="200"/>
        <w:rPr>
          <w:rFonts w:ascii="仿宋" w:hAnsi="仿宋" w:eastAsia="仿宋" w:cs="宋体"/>
          <w:kern w:val="0"/>
          <w:sz w:val="32"/>
          <w:szCs w:val="32"/>
        </w:rPr>
      </w:pPr>
      <w:r>
        <w:rPr>
          <w:rFonts w:hint="eastAsia" w:ascii="仿宋" w:hAnsi="仿宋" w:eastAsia="仿宋" w:cs="宋体"/>
          <w:color w:val="000000"/>
          <w:kern w:val="0"/>
          <w:sz w:val="32"/>
          <w:szCs w:val="32"/>
        </w:rPr>
        <w:t>教学改革研究应体现现代教育思想，具有科学性、创新性、前瞻</w:t>
      </w:r>
      <w:r>
        <w:rPr>
          <w:rFonts w:hint="eastAsia" w:ascii="仿宋" w:hAnsi="仿宋" w:eastAsia="仿宋" w:cs="宋体"/>
          <w:kern w:val="0"/>
          <w:sz w:val="32"/>
          <w:szCs w:val="32"/>
        </w:rPr>
        <w:t>性和实践性。加强对高等教育发展与人才培养战略、人才培养体制与模式、专业改革与专业建设、课程体系与教学内容、教学手段与方法、教学管理与教学基本建设、师资队伍建设等方面的研究与实践。优先资助人才培养能力、各教学环节质量标准、质量保障与监控体系、专业建设与评估认证、课程建设与评估、课程思政建设、实践教学、创新创业等方面研究与实践。</w:t>
      </w:r>
    </w:p>
    <w:p w14:paraId="582E9694">
      <w:pPr>
        <w:pStyle w:val="13"/>
        <w:spacing w:before="0" w:beforeAutospacing="0" w:after="0" w:afterAutospacing="0" w:line="560" w:lineRule="exact"/>
        <w:ind w:firstLine="643" w:firstLineChars="200"/>
        <w:jc w:val="both"/>
        <w:rPr>
          <w:rFonts w:ascii="仿宋" w:hAnsi="仿宋" w:eastAsia="仿宋" w:cs="Times New Roman"/>
          <w:b/>
          <w:bCs/>
          <w:kern w:val="2"/>
          <w:sz w:val="32"/>
          <w:szCs w:val="32"/>
        </w:rPr>
      </w:pPr>
      <w:r>
        <w:rPr>
          <w:rFonts w:hint="eastAsia" w:ascii="仿宋" w:hAnsi="仿宋" w:eastAsia="仿宋" w:cs="Times New Roman"/>
          <w:b/>
          <w:bCs/>
          <w:kern w:val="2"/>
          <w:sz w:val="32"/>
          <w:szCs w:val="32"/>
        </w:rPr>
        <w:t>三、申报条件</w:t>
      </w:r>
    </w:p>
    <w:p w14:paraId="73215874">
      <w:pPr>
        <w:widowControl/>
        <w:adjustRightIn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1.申报范围：全校各教学单位。已经列入教育部、省教育厅、学校有关方面立项课题的不再重复申报。</w:t>
      </w:r>
    </w:p>
    <w:p w14:paraId="0E433CB1">
      <w:pPr>
        <w:widowControl/>
        <w:adjustRightIn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2.申报项目既要符合社会和经济发展需求，又要从我校高等教育教学改革的实际出发，注重系统研究、整体优化、综合实践，要有一定的推广性。</w:t>
      </w:r>
    </w:p>
    <w:p w14:paraId="36D931DB">
      <w:pPr>
        <w:widowControl/>
        <w:adjustRightIn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3.申报项目应具备一定的教学改革基础、环境和相应条件，在人员、财力、政策上有相应的保证，已取得一定研究成果。由学校教学管理部门负责督促检查项目进展情况。</w:t>
      </w:r>
    </w:p>
    <w:p w14:paraId="7A0CF615">
      <w:pPr>
        <w:widowControl/>
        <w:adjustRightIn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4.申报项目的主持人必须做到岗责相符，一线教师要聚焦研究微观内容，重点研究方向在课堂教学等方面。没有行政职务的一线教师只能开展教学技能、教学方法、教学课程改革和技能改革等提升课堂教学能力方面的研究，项目的题目设计要和本人的岗位相符。</w:t>
      </w:r>
    </w:p>
    <w:p w14:paraId="6AFC27CE">
      <w:pPr>
        <w:widowControl/>
        <w:adjustRightIn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5.申报项目的主持人以前所承担的省、校级教学研究项目已按规定程序结题，项目完成情况良好。</w:t>
      </w:r>
    </w:p>
    <w:p w14:paraId="095F2898">
      <w:pPr>
        <w:widowControl/>
        <w:adjustRightIn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6.申报教研项目负责人原则上应为一线教师或直接从事教学管理工作人员，且应具有扎实的项目相关研究基础。</w:t>
      </w:r>
    </w:p>
    <w:p w14:paraId="261F1BA4">
      <w:pPr>
        <w:widowControl/>
        <w:adjustRightInd w:val="0"/>
        <w:spacing w:line="560" w:lineRule="exact"/>
        <w:ind w:firstLine="643" w:firstLineChars="200"/>
        <w:rPr>
          <w:rFonts w:ascii="仿宋" w:hAnsi="仿宋" w:eastAsia="仿宋" w:cs="宋体"/>
          <w:b/>
          <w:bCs/>
          <w:kern w:val="0"/>
          <w:sz w:val="32"/>
          <w:szCs w:val="32"/>
        </w:rPr>
      </w:pPr>
      <w:bookmarkStart w:id="38" w:name="_Toc8836"/>
      <w:bookmarkStart w:id="39" w:name="_Toc15749"/>
      <w:r>
        <w:rPr>
          <w:rFonts w:hint="eastAsia" w:ascii="仿宋" w:hAnsi="仿宋" w:eastAsia="仿宋" w:cs="宋体"/>
          <w:b/>
          <w:bCs/>
          <w:kern w:val="0"/>
          <w:sz w:val="32"/>
          <w:szCs w:val="32"/>
        </w:rPr>
        <w:t>四、验收标准</w:t>
      </w:r>
    </w:p>
    <w:p w14:paraId="5F905850">
      <w:pPr>
        <w:widowControl/>
        <w:adjustRightInd w:val="0"/>
        <w:spacing w:line="560" w:lineRule="exact"/>
        <w:ind w:firstLine="640" w:firstLineChars="200"/>
        <w:rPr>
          <w:rFonts w:hint="eastAsia" w:ascii="仿宋" w:hAnsi="仿宋" w:eastAsia="仿宋" w:cs="宋体"/>
          <w:color w:val="000000"/>
          <w:kern w:val="0"/>
          <w:sz w:val="32"/>
          <w:szCs w:val="32"/>
          <w:lang w:eastAsia="zh-CN"/>
        </w:rPr>
      </w:pPr>
      <w:r>
        <w:rPr>
          <w:rFonts w:hint="eastAsia" w:ascii="仿宋" w:hAnsi="仿宋" w:eastAsia="仿宋" w:cs="宋体"/>
          <w:kern w:val="0"/>
          <w:sz w:val="32"/>
          <w:szCs w:val="32"/>
          <w:lang w:val="en-US" w:eastAsia="zh-CN"/>
        </w:rPr>
        <w:t>委托项目需</w:t>
      </w:r>
      <w:r>
        <w:rPr>
          <w:rFonts w:hint="eastAsia" w:ascii="仿宋" w:hAnsi="仿宋" w:eastAsia="仿宋" w:cs="宋体"/>
          <w:kern w:val="0"/>
          <w:sz w:val="32"/>
          <w:szCs w:val="32"/>
        </w:rPr>
        <w:t>完成项目研究任务，</w:t>
      </w:r>
      <w:r>
        <w:rPr>
          <w:rFonts w:hint="eastAsia" w:ascii="仿宋" w:hAnsi="仿宋" w:eastAsia="仿宋" w:cs="宋体"/>
          <w:kern w:val="0"/>
          <w:sz w:val="32"/>
          <w:szCs w:val="32"/>
          <w:lang w:val="en-US" w:eastAsia="zh-CN"/>
        </w:rPr>
        <w:t>出具研究报告，解决实际问题，根据实际结题要求完成项目建设</w:t>
      </w:r>
      <w:bookmarkStart w:id="40" w:name="_GoBack"/>
      <w:bookmarkEnd w:id="40"/>
      <w:r>
        <w:rPr>
          <w:rFonts w:hint="eastAsia" w:ascii="仿宋" w:hAnsi="仿宋" w:eastAsia="仿宋" w:cs="宋体"/>
          <w:kern w:val="0"/>
          <w:sz w:val="32"/>
          <w:szCs w:val="32"/>
          <w:lang w:val="en-US" w:eastAsia="zh-CN"/>
        </w:rPr>
        <w:t>。一般</w:t>
      </w:r>
      <w:r>
        <w:rPr>
          <w:rFonts w:hint="eastAsia" w:ascii="仿宋" w:hAnsi="仿宋" w:eastAsia="仿宋" w:cs="宋体"/>
          <w:kern w:val="0"/>
          <w:sz w:val="32"/>
          <w:szCs w:val="32"/>
        </w:rPr>
        <w:t>项目负责人作为第一作者公开发表带有项目编号的</w:t>
      </w:r>
      <w:r>
        <w:rPr>
          <w:rFonts w:hint="eastAsia" w:ascii="仿宋" w:hAnsi="仿宋" w:eastAsia="仿宋" w:cs="宋体"/>
          <w:kern w:val="0"/>
          <w:sz w:val="32"/>
          <w:szCs w:val="32"/>
          <w:lang w:val="en-US" w:eastAsia="zh-CN"/>
        </w:rPr>
        <w:t>四类</w:t>
      </w:r>
      <w:r>
        <w:rPr>
          <w:rFonts w:hint="eastAsia" w:ascii="仿宋" w:hAnsi="仿宋" w:eastAsia="仿宋" w:cs="宋体"/>
          <w:kern w:val="0"/>
          <w:sz w:val="32"/>
          <w:szCs w:val="32"/>
        </w:rPr>
        <w:t>教研论文</w:t>
      </w:r>
      <w:r>
        <w:rPr>
          <w:rFonts w:hint="eastAsia" w:ascii="仿宋" w:hAnsi="仿宋" w:eastAsia="仿宋" w:cs="宋体"/>
          <w:kern w:val="0"/>
          <w:sz w:val="32"/>
          <w:szCs w:val="32"/>
          <w:lang w:val="en-US" w:eastAsia="zh-CN"/>
        </w:rPr>
        <w:t>1篇</w:t>
      </w:r>
      <w:bookmarkEnd w:id="32"/>
      <w:bookmarkEnd w:id="33"/>
      <w:bookmarkEnd w:id="38"/>
      <w:bookmarkEnd w:id="39"/>
      <w:r>
        <w:rPr>
          <w:rFonts w:hint="eastAsia" w:ascii="仿宋" w:hAnsi="仿宋" w:eastAsia="仿宋" w:cs="宋体"/>
          <w:kern w:val="0"/>
          <w:sz w:val="32"/>
          <w:szCs w:val="32"/>
          <w:lang w:eastAsia="zh-CN"/>
        </w:rPr>
        <w:t>。</w:t>
      </w:r>
    </w:p>
    <w:sectPr>
      <w:footerReference r:id="rId8" w:type="default"/>
      <w:pgSz w:w="11900" w:h="16840"/>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526159"/>
    </w:sdtPr>
    <w:sdtContent>
      <w:sdt>
        <w:sdtPr>
          <w:id w:val="98381352"/>
        </w:sdtPr>
        <w:sdtContent>
          <w:p w14:paraId="42FF17B2">
            <w:pPr>
              <w:pStyle w:val="9"/>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27</w:t>
            </w:r>
            <w:r>
              <w:rPr>
                <w:b/>
                <w:sz w:val="24"/>
                <w:szCs w:val="24"/>
              </w:rPr>
              <w:fldChar w:fldCharType="end"/>
            </w:r>
          </w:p>
        </w:sdtContent>
      </w:sdt>
    </w:sdtContent>
  </w:sdt>
  <w:p w14:paraId="11B77BB5">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8B473">
    <w:pPr>
      <w:pStyle w:val="9"/>
      <w:framePr w:wrap="around" w:vAnchor="text" w:hAnchor="margin" w:xAlign="center" w:y="1"/>
      <w:rPr>
        <w:rStyle w:val="16"/>
      </w:rPr>
    </w:pPr>
    <w:r>
      <w:fldChar w:fldCharType="begin"/>
    </w:r>
    <w:r>
      <w:rPr>
        <w:rStyle w:val="16"/>
      </w:rPr>
      <w:instrText xml:space="preserve">PAGE  </w:instrText>
    </w:r>
    <w:r>
      <w:fldChar w:fldCharType="end"/>
    </w:r>
  </w:p>
  <w:p w14:paraId="1B135755">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7820D">
    <w:pPr>
      <w:pStyle w:val="9"/>
      <w:jc w:val="center"/>
    </w:pPr>
  </w:p>
  <w:p w14:paraId="22933AB1">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5D42C">
    <w:pPr>
      <w:pStyle w:val="9"/>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sdt>
                <w:sdtPr>
                  <w:id w:val="147476310"/>
                </w:sdtPr>
                <w:sdtContent>
                  <w:sdt>
                    <w:sdtPr>
                      <w:id w:val="147477986"/>
                    </w:sdtPr>
                    <w:sdtContent>
                      <w:p w14:paraId="4F35640E">
                        <w:pPr>
                          <w:pStyle w:val="9"/>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27</w:t>
                        </w:r>
                        <w:r>
                          <w:rPr>
                            <w:b/>
                            <w:sz w:val="24"/>
                            <w:szCs w:val="24"/>
                          </w:rPr>
                          <w:fldChar w:fldCharType="end"/>
                        </w:r>
                      </w:p>
                    </w:sdtContent>
                  </w:sdt>
                </w:sdtContent>
              </w:sdt>
              <w:p w14:paraId="09C49699"/>
            </w:txbxContent>
          </v:textbox>
        </v:shape>
      </w:pict>
    </w:r>
  </w:p>
  <w:p w14:paraId="17B678E1">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204EF">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004A2">
    <w:pPr>
      <w:pStyle w:val="10"/>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I1MmE1MDM5Y2JkOTZjYzI0YTI5MmVmOGIyMTU1OTgifQ=="/>
  </w:docVars>
  <w:rsids>
    <w:rsidRoot w:val="005F03E6"/>
    <w:rsid w:val="00006B1B"/>
    <w:rsid w:val="000440F0"/>
    <w:rsid w:val="00057D96"/>
    <w:rsid w:val="00063C88"/>
    <w:rsid w:val="00084637"/>
    <w:rsid w:val="00097058"/>
    <w:rsid w:val="000A73A9"/>
    <w:rsid w:val="000E0754"/>
    <w:rsid w:val="000E1915"/>
    <w:rsid w:val="00100A3A"/>
    <w:rsid w:val="0016192F"/>
    <w:rsid w:val="0018024D"/>
    <w:rsid w:val="001C3DEB"/>
    <w:rsid w:val="001F46E0"/>
    <w:rsid w:val="00222425"/>
    <w:rsid w:val="00230F39"/>
    <w:rsid w:val="00266F4D"/>
    <w:rsid w:val="0029162D"/>
    <w:rsid w:val="002927A5"/>
    <w:rsid w:val="002A2598"/>
    <w:rsid w:val="002B2B14"/>
    <w:rsid w:val="002C7C70"/>
    <w:rsid w:val="002D66E1"/>
    <w:rsid w:val="0032549A"/>
    <w:rsid w:val="0034337B"/>
    <w:rsid w:val="003476CF"/>
    <w:rsid w:val="00347AA7"/>
    <w:rsid w:val="00347B34"/>
    <w:rsid w:val="00384492"/>
    <w:rsid w:val="003A79DA"/>
    <w:rsid w:val="003B02BD"/>
    <w:rsid w:val="003B55C2"/>
    <w:rsid w:val="003C10FC"/>
    <w:rsid w:val="003D3A81"/>
    <w:rsid w:val="003D781E"/>
    <w:rsid w:val="003F2E22"/>
    <w:rsid w:val="003F488E"/>
    <w:rsid w:val="00401C37"/>
    <w:rsid w:val="00402386"/>
    <w:rsid w:val="00403C7F"/>
    <w:rsid w:val="00434C21"/>
    <w:rsid w:val="00481A3A"/>
    <w:rsid w:val="00481FF3"/>
    <w:rsid w:val="004F384A"/>
    <w:rsid w:val="00512396"/>
    <w:rsid w:val="00534487"/>
    <w:rsid w:val="00555215"/>
    <w:rsid w:val="00556B46"/>
    <w:rsid w:val="00560844"/>
    <w:rsid w:val="005639CA"/>
    <w:rsid w:val="005725F0"/>
    <w:rsid w:val="00574442"/>
    <w:rsid w:val="005762FE"/>
    <w:rsid w:val="005861CF"/>
    <w:rsid w:val="005A578A"/>
    <w:rsid w:val="005B2C68"/>
    <w:rsid w:val="005C70ED"/>
    <w:rsid w:val="005F03E6"/>
    <w:rsid w:val="00616752"/>
    <w:rsid w:val="00637D1E"/>
    <w:rsid w:val="006474BA"/>
    <w:rsid w:val="00664BAF"/>
    <w:rsid w:val="00666A40"/>
    <w:rsid w:val="00673A40"/>
    <w:rsid w:val="00674FB5"/>
    <w:rsid w:val="00682AFF"/>
    <w:rsid w:val="006E6A4E"/>
    <w:rsid w:val="00704FB8"/>
    <w:rsid w:val="00722414"/>
    <w:rsid w:val="00747896"/>
    <w:rsid w:val="00751877"/>
    <w:rsid w:val="00764519"/>
    <w:rsid w:val="00772757"/>
    <w:rsid w:val="00775D85"/>
    <w:rsid w:val="007772C7"/>
    <w:rsid w:val="007A5F20"/>
    <w:rsid w:val="007A6DB7"/>
    <w:rsid w:val="007B4B34"/>
    <w:rsid w:val="007C6163"/>
    <w:rsid w:val="007F4E66"/>
    <w:rsid w:val="007F7750"/>
    <w:rsid w:val="008013A8"/>
    <w:rsid w:val="008131EC"/>
    <w:rsid w:val="0083375B"/>
    <w:rsid w:val="008563F1"/>
    <w:rsid w:val="008723CC"/>
    <w:rsid w:val="00873D28"/>
    <w:rsid w:val="00881B91"/>
    <w:rsid w:val="008839E2"/>
    <w:rsid w:val="008A20C6"/>
    <w:rsid w:val="008A470C"/>
    <w:rsid w:val="008B618F"/>
    <w:rsid w:val="008F5BE8"/>
    <w:rsid w:val="008F7377"/>
    <w:rsid w:val="00905998"/>
    <w:rsid w:val="00927185"/>
    <w:rsid w:val="009646B1"/>
    <w:rsid w:val="00972716"/>
    <w:rsid w:val="00997DA1"/>
    <w:rsid w:val="009B3F30"/>
    <w:rsid w:val="009D4FEF"/>
    <w:rsid w:val="009F4139"/>
    <w:rsid w:val="009F49F5"/>
    <w:rsid w:val="00A16CCD"/>
    <w:rsid w:val="00A349D5"/>
    <w:rsid w:val="00A365F8"/>
    <w:rsid w:val="00A84203"/>
    <w:rsid w:val="00A9456F"/>
    <w:rsid w:val="00AA2EB2"/>
    <w:rsid w:val="00AB03D0"/>
    <w:rsid w:val="00AD7943"/>
    <w:rsid w:val="00B11593"/>
    <w:rsid w:val="00B462F6"/>
    <w:rsid w:val="00B52FA3"/>
    <w:rsid w:val="00B81F81"/>
    <w:rsid w:val="00B95FB6"/>
    <w:rsid w:val="00BD6B16"/>
    <w:rsid w:val="00BF7F36"/>
    <w:rsid w:val="00C056E1"/>
    <w:rsid w:val="00C1229D"/>
    <w:rsid w:val="00C24962"/>
    <w:rsid w:val="00C51979"/>
    <w:rsid w:val="00C74D3A"/>
    <w:rsid w:val="00CE18A4"/>
    <w:rsid w:val="00CF4664"/>
    <w:rsid w:val="00D0448D"/>
    <w:rsid w:val="00D1631F"/>
    <w:rsid w:val="00D17594"/>
    <w:rsid w:val="00D309B3"/>
    <w:rsid w:val="00D33A06"/>
    <w:rsid w:val="00D547B3"/>
    <w:rsid w:val="00D65E58"/>
    <w:rsid w:val="00D92C44"/>
    <w:rsid w:val="00D94895"/>
    <w:rsid w:val="00DA062F"/>
    <w:rsid w:val="00DA4920"/>
    <w:rsid w:val="00DB617C"/>
    <w:rsid w:val="00DE3B55"/>
    <w:rsid w:val="00DE605A"/>
    <w:rsid w:val="00E04F8B"/>
    <w:rsid w:val="00E05B3E"/>
    <w:rsid w:val="00E37F07"/>
    <w:rsid w:val="00E4131F"/>
    <w:rsid w:val="00E52259"/>
    <w:rsid w:val="00E65519"/>
    <w:rsid w:val="00E70B7C"/>
    <w:rsid w:val="00E84957"/>
    <w:rsid w:val="00EC2E72"/>
    <w:rsid w:val="00EF6795"/>
    <w:rsid w:val="00EF7788"/>
    <w:rsid w:val="00F018D9"/>
    <w:rsid w:val="00F026F2"/>
    <w:rsid w:val="00F2433E"/>
    <w:rsid w:val="00F30ABB"/>
    <w:rsid w:val="00F5042D"/>
    <w:rsid w:val="00F768EA"/>
    <w:rsid w:val="00F90343"/>
    <w:rsid w:val="00F94DE2"/>
    <w:rsid w:val="00FB660F"/>
    <w:rsid w:val="00FE49CF"/>
    <w:rsid w:val="045B33D2"/>
    <w:rsid w:val="0C831DFB"/>
    <w:rsid w:val="0CD1621F"/>
    <w:rsid w:val="0CF76C34"/>
    <w:rsid w:val="0E97118F"/>
    <w:rsid w:val="0FBD0122"/>
    <w:rsid w:val="10084DC7"/>
    <w:rsid w:val="10264A11"/>
    <w:rsid w:val="13195E78"/>
    <w:rsid w:val="13C7771B"/>
    <w:rsid w:val="18107A26"/>
    <w:rsid w:val="1A5A2BCB"/>
    <w:rsid w:val="1B761E0D"/>
    <w:rsid w:val="1C9A77CA"/>
    <w:rsid w:val="1E081BFA"/>
    <w:rsid w:val="230B21F1"/>
    <w:rsid w:val="23BC1050"/>
    <w:rsid w:val="25243CB6"/>
    <w:rsid w:val="25BE0D96"/>
    <w:rsid w:val="270432AD"/>
    <w:rsid w:val="28D25AA6"/>
    <w:rsid w:val="2A3B3E25"/>
    <w:rsid w:val="2B33475A"/>
    <w:rsid w:val="2BCC1DBF"/>
    <w:rsid w:val="31AE587E"/>
    <w:rsid w:val="32B80025"/>
    <w:rsid w:val="35727C2D"/>
    <w:rsid w:val="35740ACC"/>
    <w:rsid w:val="368D261D"/>
    <w:rsid w:val="37335AE2"/>
    <w:rsid w:val="39F23A32"/>
    <w:rsid w:val="3A7B4753"/>
    <w:rsid w:val="3F3C0B84"/>
    <w:rsid w:val="3F632D05"/>
    <w:rsid w:val="4250579A"/>
    <w:rsid w:val="44F07E6C"/>
    <w:rsid w:val="464753E4"/>
    <w:rsid w:val="4A4E44F6"/>
    <w:rsid w:val="4D5068ED"/>
    <w:rsid w:val="4D580970"/>
    <w:rsid w:val="4E222378"/>
    <w:rsid w:val="4E7F5CF2"/>
    <w:rsid w:val="4FDE25F7"/>
    <w:rsid w:val="501513F2"/>
    <w:rsid w:val="5491100D"/>
    <w:rsid w:val="5607341F"/>
    <w:rsid w:val="587F2DFB"/>
    <w:rsid w:val="5B910582"/>
    <w:rsid w:val="5EAB124C"/>
    <w:rsid w:val="62ED4054"/>
    <w:rsid w:val="63C55DB0"/>
    <w:rsid w:val="66163235"/>
    <w:rsid w:val="68C122F8"/>
    <w:rsid w:val="6C28551B"/>
    <w:rsid w:val="6FA53107"/>
    <w:rsid w:val="7185070D"/>
    <w:rsid w:val="73C544F2"/>
    <w:rsid w:val="74BE208C"/>
    <w:rsid w:val="7A010C19"/>
    <w:rsid w:val="7CF6609C"/>
    <w:rsid w:val="7DA93415"/>
    <w:rsid w:val="7E5206F7"/>
    <w:rsid w:val="7EAC5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5"/>
    <w:qFormat/>
    <w:uiPriority w:val="99"/>
    <w:pPr>
      <w:keepNext/>
      <w:keepLines/>
      <w:spacing w:before="260" w:after="260" w:line="416" w:lineRule="auto"/>
      <w:outlineLvl w:val="2"/>
    </w:pPr>
    <w:rPr>
      <w:rFonts w:ascii="等线" w:hAnsi="等线" w:eastAsia="等线" w:cs="Times New Roman"/>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Body Text"/>
    <w:basedOn w:val="1"/>
    <w:unhideWhenUsed/>
    <w:qFormat/>
    <w:uiPriority w:val="1"/>
    <w:pPr>
      <w:ind w:left="218" w:firstLine="640"/>
    </w:pPr>
    <w:rPr>
      <w:sz w:val="32"/>
      <w:szCs w:val="32"/>
    </w:rPr>
  </w:style>
  <w:style w:type="paragraph" w:styleId="7">
    <w:name w:val="toc 3"/>
    <w:basedOn w:val="1"/>
    <w:next w:val="1"/>
    <w:unhideWhenUsed/>
    <w:qFormat/>
    <w:uiPriority w:val="39"/>
    <w:pPr>
      <w:widowControl/>
      <w:spacing w:after="100" w:line="276" w:lineRule="auto"/>
      <w:ind w:left="440"/>
      <w:jc w:val="left"/>
    </w:pPr>
    <w:rPr>
      <w:rFonts w:ascii="Calibri" w:hAnsi="Calibri" w:eastAsia="宋体" w:cs="Times New Roman"/>
      <w:kern w:val="0"/>
      <w:sz w:val="22"/>
      <w:szCs w:val="22"/>
    </w:rPr>
  </w:style>
  <w:style w:type="paragraph" w:styleId="8">
    <w:name w:val="Balloon Text"/>
    <w:basedOn w:val="1"/>
    <w:link w:val="21"/>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style>
  <w:style w:type="paragraph" w:styleId="12">
    <w:name w:val="toc 2"/>
    <w:basedOn w:val="1"/>
    <w:next w:val="1"/>
    <w:unhideWhenUsed/>
    <w:qFormat/>
    <w:uiPriority w:val="39"/>
    <w:pPr>
      <w:tabs>
        <w:tab w:val="right" w:leader="dot" w:pos="8290"/>
      </w:tabs>
      <w:adjustRightInd w:val="0"/>
      <w:spacing w:line="400" w:lineRule="exact"/>
    </w:p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6">
    <w:name w:val="page number"/>
    <w:basedOn w:val="15"/>
    <w:unhideWhenUsed/>
    <w:qFormat/>
    <w:uiPriority w:val="99"/>
  </w:style>
  <w:style w:type="character" w:styleId="17">
    <w:name w:val="Hyperlink"/>
    <w:basedOn w:val="15"/>
    <w:unhideWhenUsed/>
    <w:qFormat/>
    <w:uiPriority w:val="99"/>
    <w:rPr>
      <w:color w:val="0563C1" w:themeColor="hyperlink"/>
      <w:u w:val="single"/>
    </w:rPr>
  </w:style>
  <w:style w:type="character" w:styleId="18">
    <w:name w:val="annotation reference"/>
    <w:basedOn w:val="15"/>
    <w:semiHidden/>
    <w:unhideWhenUsed/>
    <w:qFormat/>
    <w:uiPriority w:val="99"/>
    <w:rPr>
      <w:sz w:val="21"/>
      <w:szCs w:val="21"/>
    </w:rPr>
  </w:style>
  <w:style w:type="paragraph" w:customStyle="1" w:styleId="19">
    <w:name w:val="_Style 3"/>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0">
    <w:name w:val="_Style 1"/>
    <w:basedOn w:val="1"/>
    <w:qFormat/>
    <w:uiPriority w:val="34"/>
    <w:pPr>
      <w:ind w:firstLine="420" w:firstLineChars="200"/>
    </w:pPr>
    <w:rPr>
      <w:szCs w:val="22"/>
    </w:rPr>
  </w:style>
  <w:style w:type="character" w:customStyle="1" w:styleId="21">
    <w:name w:val="批注框文本 Char"/>
    <w:basedOn w:val="15"/>
    <w:link w:val="8"/>
    <w:semiHidden/>
    <w:qFormat/>
    <w:uiPriority w:val="99"/>
    <w:rPr>
      <w:kern w:val="2"/>
      <w:sz w:val="18"/>
      <w:szCs w:val="18"/>
    </w:rPr>
  </w:style>
  <w:style w:type="character" w:customStyle="1" w:styleId="22">
    <w:name w:val="页脚 Char"/>
    <w:basedOn w:val="15"/>
    <w:link w:val="9"/>
    <w:qFormat/>
    <w:uiPriority w:val="99"/>
    <w:rPr>
      <w:kern w:val="2"/>
      <w:sz w:val="18"/>
      <w:szCs w:val="18"/>
    </w:rPr>
  </w:style>
  <w:style w:type="character" w:customStyle="1" w:styleId="23">
    <w:name w:val="标题 2 Char"/>
    <w:basedOn w:val="15"/>
    <w:link w:val="3"/>
    <w:qFormat/>
    <w:uiPriority w:val="9"/>
    <w:rPr>
      <w:rFonts w:asciiTheme="majorHAnsi" w:hAnsiTheme="majorHAnsi" w:eastAsiaTheme="majorEastAsia" w:cstheme="majorBidi"/>
      <w:b/>
      <w:bCs/>
      <w:kern w:val="2"/>
      <w:sz w:val="32"/>
      <w:szCs w:val="32"/>
    </w:rPr>
  </w:style>
  <w:style w:type="paragraph" w:customStyle="1" w:styleId="24">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F5496" w:themeColor="accent1" w:themeShade="BF"/>
      <w:kern w:val="0"/>
      <w:sz w:val="28"/>
      <w:szCs w:val="28"/>
    </w:rPr>
  </w:style>
  <w:style w:type="character" w:customStyle="1" w:styleId="25">
    <w:name w:val="标题 3 Char"/>
    <w:basedOn w:val="15"/>
    <w:link w:val="4"/>
    <w:qFormat/>
    <w:uiPriority w:val="99"/>
    <w:rPr>
      <w:rFonts w:ascii="等线" w:hAnsi="等线" w:eastAsia="等线"/>
      <w:b/>
      <w:bCs/>
      <w:kern w:val="2"/>
      <w:sz w:val="32"/>
      <w:szCs w:val="32"/>
    </w:rPr>
  </w:style>
  <w:style w:type="paragraph" w:styleId="2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11381</Words>
  <Characters>11712</Characters>
  <Lines>94</Lines>
  <Paragraphs>26</Paragraphs>
  <TotalTime>3</TotalTime>
  <ScaleCrop>false</ScaleCrop>
  <LinksUpToDate>false</LinksUpToDate>
  <CharactersWithSpaces>11756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2019-08-03T07:17:00Z</dcterms:created>
  <dc:creator>yang</dc:creator>
  <cp:lastModifiedBy>宋大韩</cp:lastModifiedBy>
  <cp:lastPrinted>2021-10-25T06:08:00Z</cp:lastPrinted>
  <dcterms:modified xsi:type="dcterms:W3CDTF">2025-01-07T08:19:54Z</dcterms:modified>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FB285D49980F420885056F54E7E3150E_12</vt:lpwstr>
  </property>
  <property fmtid="{D5CDD505-2E9C-101B-9397-08002B2CF9AE}" pid="4" name="KSOTemplateDocerSaveRecord">
    <vt:lpwstr>eyJoZGlkIjoiOGNmODk2Yjc1NjZiNGFhMmM4ODFhZDBkZjQxNTU1NGEiLCJ1c2VySWQiOiI0NjIwNDM2MDMifQ==</vt:lpwstr>
  </property>
</Properties>
</file>