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54D4">
      <w:pPr>
        <w:pStyle w:val="7"/>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2025年安徽建筑大学南北校区多媒体驻点运维服务</w:t>
      </w:r>
    </w:p>
    <w:p w14:paraId="2A4EAC16">
      <w:pPr>
        <w:pStyle w:val="7"/>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市场调研报告</w:t>
      </w:r>
    </w:p>
    <w:p w14:paraId="03D1F7C2">
      <w:pPr>
        <w:rPr>
          <w:rFonts w:hint="eastAsia" w:ascii="仿宋" w:hAnsi="仿宋" w:eastAsia="仿宋" w:cs="仿宋"/>
          <w:lang w:val="en-US" w:eastAsia="zh-CN"/>
        </w:rPr>
      </w:pPr>
    </w:p>
    <w:p w14:paraId="1C7A4F61">
      <w:pPr>
        <w:pStyle w:val="7"/>
        <w:ind w:left="0" w:leftChars="0" w:firstLine="0" w:firstLine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各单位:</w:t>
      </w:r>
    </w:p>
    <w:p w14:paraId="046064CE">
      <w:pPr>
        <w:pStyle w:val="7"/>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我校拟招标2025年安徽建筑大学南北校区多媒体驻点运维服务，现面向你单位征询相关意见，请根据工作实际填写相关情况并提出反馈意见，最迟请于</w:t>
      </w:r>
      <w:r>
        <w:rPr>
          <w:rFonts w:hint="eastAsia" w:ascii="仿宋" w:hAnsi="仿宋" w:eastAsia="仿宋" w:cs="仿宋"/>
          <w:b w:val="0"/>
          <w:bCs w:val="0"/>
          <w:color w:val="000000" w:themeColor="text1"/>
          <w:kern w:val="2"/>
          <w:sz w:val="32"/>
          <w:szCs w:val="32"/>
          <w:highlight w:val="yellow"/>
          <w:lang w:val="en-US" w:eastAsia="zh-CN" w:bidi="ar-SA"/>
          <w14:textFill>
            <w14:solidFill>
              <w14:schemeClr w14:val="tx1"/>
            </w14:solidFill>
          </w14:textFill>
        </w:rPr>
        <w:t>2025</w:t>
      </w:r>
      <w:bookmarkStart w:id="0" w:name="_GoBack"/>
      <w:bookmarkEnd w:id="0"/>
      <w:r>
        <w:rPr>
          <w:rFonts w:hint="eastAsia" w:ascii="仿宋" w:hAnsi="仿宋" w:eastAsia="仿宋" w:cs="仿宋"/>
          <w:b w:val="0"/>
          <w:bCs w:val="0"/>
          <w:color w:val="000000" w:themeColor="text1"/>
          <w:kern w:val="2"/>
          <w:sz w:val="32"/>
          <w:szCs w:val="32"/>
          <w:highlight w:val="yellow"/>
          <w:lang w:val="en-US" w:eastAsia="zh-CN" w:bidi="ar-SA"/>
          <w14:textFill>
            <w14:solidFill>
              <w14:schemeClr w14:val="tx1"/>
            </w14:solidFill>
          </w14:textFill>
        </w:rPr>
        <w:t>年4月30日</w:t>
      </w:r>
      <w:r>
        <w:rPr>
          <w:rFonts w:hint="eastAsia" w:ascii="仿宋" w:hAnsi="仿宋" w:eastAsia="仿宋" w:cs="仿宋"/>
          <w:b w:val="0"/>
          <w:bCs w:val="0"/>
          <w:kern w:val="2"/>
          <w:sz w:val="32"/>
          <w:szCs w:val="32"/>
          <w:lang w:val="en-US" w:eastAsia="zh-CN" w:bidi="ar-SA"/>
        </w:rPr>
        <w:t>之前反馈至邮箱</w:t>
      </w:r>
      <w:r>
        <w:rPr>
          <w:rFonts w:hint="eastAsia" w:ascii="仿宋" w:hAnsi="仿宋" w:eastAsia="仿宋" w:cs="仿宋"/>
          <w:b w:val="0"/>
          <w:bCs w:val="0"/>
          <w:color w:val="000000" w:themeColor="text1"/>
          <w:kern w:val="2"/>
          <w:sz w:val="32"/>
          <w:szCs w:val="32"/>
          <w:highlight w:val="yellow"/>
          <w:lang w:val="en-US" w:eastAsia="zh-CN" w:bidi="ar-SA"/>
          <w14:textFill>
            <w14:solidFill>
              <w14:schemeClr w14:val="tx1"/>
            </w14:solidFill>
          </w14:textFill>
        </w:rPr>
        <w:t>chaochao3@ahjzu.edu.cn</w:t>
      </w:r>
      <w:r>
        <w:rPr>
          <w:rFonts w:hint="eastAsia" w:ascii="仿宋" w:hAnsi="仿宋" w:eastAsia="仿宋" w:cs="仿宋"/>
          <w:b w:val="0"/>
          <w:bCs w:val="0"/>
          <w:kern w:val="2"/>
          <w:sz w:val="32"/>
          <w:szCs w:val="32"/>
          <w:lang w:val="en-US" w:eastAsia="zh-CN" w:bidi="ar-SA"/>
        </w:rPr>
        <w:t>，谢谢!</w:t>
      </w:r>
    </w:p>
    <w:p w14:paraId="6F02FAD1">
      <w:pPr>
        <w:rPr>
          <w:rFonts w:hint="eastAsia" w:ascii="仿宋" w:hAnsi="仿宋" w:eastAsia="仿宋" w:cs="仿宋"/>
          <w:b w:val="0"/>
          <w:bCs w:val="0"/>
          <w:kern w:val="2"/>
          <w:sz w:val="32"/>
          <w:szCs w:val="32"/>
          <w:lang w:val="en-US" w:eastAsia="zh-CN" w:bidi="ar-SA"/>
        </w:rPr>
      </w:pPr>
    </w:p>
    <w:p w14:paraId="23748737">
      <w:pPr>
        <w:pStyle w:val="7"/>
        <w:rPr>
          <w:rFonts w:hint="eastAsia" w:ascii="仿宋" w:hAnsi="仿宋" w:eastAsia="仿宋" w:cs="仿宋"/>
          <w:lang w:val="en-US" w:eastAsia="zh-CN"/>
        </w:rPr>
      </w:pPr>
    </w:p>
    <w:p w14:paraId="692A1AEB">
      <w:pPr>
        <w:jc w:val="righ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安徽建筑大学信息网络中心</w:t>
      </w:r>
    </w:p>
    <w:p w14:paraId="73E0718A">
      <w:pPr>
        <w:jc w:val="right"/>
        <w:rPr>
          <w:rFonts w:hint="eastAsia" w:ascii="宋体" w:hAnsi="宋体" w:eastAsia="宋体" w:cs="宋体"/>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2025年4月23日</w:t>
      </w:r>
      <w:r>
        <w:rPr>
          <w:rFonts w:hint="eastAsia" w:ascii="宋体" w:hAnsi="宋体" w:eastAsia="宋体" w:cs="宋体"/>
          <w:b w:val="0"/>
          <w:bCs w:val="0"/>
          <w:kern w:val="2"/>
          <w:sz w:val="32"/>
          <w:szCs w:val="32"/>
          <w:lang w:val="en-US" w:eastAsia="zh-CN" w:bidi="ar-SA"/>
        </w:rPr>
        <w:br w:type="page"/>
      </w:r>
    </w:p>
    <w:p w14:paraId="5301D7FC">
      <w:pPr>
        <w:pStyle w:val="7"/>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单位名称（公章）：</w:t>
      </w:r>
    </w:p>
    <w:p w14:paraId="348B2798">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联系人及联系方式：</w:t>
      </w:r>
    </w:p>
    <w:p w14:paraId="0F324F3B">
      <w:pPr>
        <w:rPr>
          <w:rFonts w:hint="eastAsia" w:ascii="黑体" w:hAnsi="黑体" w:eastAsia="黑体" w:cs="仿宋_GB2312"/>
          <w:kern w:val="2"/>
          <w:sz w:val="32"/>
          <w:szCs w:val="32"/>
          <w:lang w:val="en-US" w:eastAsia="zh-CN" w:bidi="ar-SA"/>
        </w:rPr>
      </w:pPr>
    </w:p>
    <w:p w14:paraId="50522AD6">
      <w:pPr>
        <w:pStyle w:val="7"/>
        <w:numPr>
          <w:ilvl w:val="0"/>
          <w:numId w:val="2"/>
        </w:numPr>
        <w:ind w:left="420" w:leftChars="200" w:firstLine="0" w:firstLineChars="0"/>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项目名称：</w:t>
      </w:r>
      <w:r>
        <w:rPr>
          <w:rFonts w:hint="eastAsia" w:ascii="仿宋" w:hAnsi="仿宋" w:eastAsia="仿宋" w:cs="仿宋"/>
          <w:kern w:val="2"/>
          <w:sz w:val="28"/>
          <w:szCs w:val="28"/>
          <w:lang w:val="en-US" w:eastAsia="zh-CN" w:bidi="ar-SA"/>
        </w:rPr>
        <w:t>2025年安徽建筑大学南北校区多媒体驻点运维服务采购</w:t>
      </w:r>
    </w:p>
    <w:p w14:paraId="6A609B40">
      <w:pPr>
        <w:pStyle w:val="7"/>
        <w:numPr>
          <w:ilvl w:val="0"/>
          <w:numId w:val="0"/>
        </w:numPr>
        <w:ind w:left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二、预算金额：80</w:t>
      </w:r>
      <w:r>
        <w:rPr>
          <w:rFonts w:hint="eastAsia" w:ascii="仿宋" w:hAnsi="仿宋" w:eastAsia="仿宋" w:cs="仿宋"/>
          <w:b w:val="0"/>
          <w:bCs w:val="0"/>
          <w:kern w:val="2"/>
          <w:sz w:val="28"/>
          <w:szCs w:val="28"/>
          <w:lang w:val="en-US" w:eastAsia="zh-CN" w:bidi="ar-SA"/>
        </w:rPr>
        <w:t>万元</w:t>
      </w:r>
    </w:p>
    <w:p w14:paraId="55C5AA11">
      <w:pPr>
        <w:pStyle w:val="7"/>
        <w:numPr>
          <w:ilvl w:val="0"/>
          <w:numId w:val="0"/>
        </w:numPr>
        <w:ind w:left="420" w:leftChars="20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三、项目概况：</w:t>
      </w:r>
    </w:p>
    <w:p w14:paraId="2E2DF26C">
      <w:pPr>
        <w:pStyle w:val="7"/>
        <w:numPr>
          <w:ilvl w:val="0"/>
          <w:numId w:val="0"/>
        </w:numPr>
        <w:ind w:left="420" w:leftChars="20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安徽建筑大学南北校区多媒体教室驻点运维服务将于2025年10月份服务期满，为保障教学多媒体系统及设备的稳定运行，确保教学秩序平稳，采购人拟对多媒体教室进行驻点运维服务采购。成交供应商需提供不低于7名专业技术人员进行为期一年的驻校运维服务（含全部设备、软件的巡检，多媒体教室的日常维护管理和教学服务等，提供运维服务管理工具软件）。</w:t>
      </w:r>
    </w:p>
    <w:p w14:paraId="2137F71E">
      <w:pPr>
        <w:pStyle w:val="7"/>
        <w:numPr>
          <w:ilvl w:val="0"/>
          <w:numId w:val="0"/>
        </w:numPr>
        <w:ind w:left="420" w:leftChars="20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中标人需遵循安徽建筑大学多媒体教室的现有管理方式和技术手段提供运维服务。多媒体教室历经多期建设，配备了包括投影机、网络中控、音响扩声、计算机等多种不同品牌的设备。目前，日常管理通过统一的管理平台进行远程操作，此集中管控平台已对接采购人数据中心的课表，能实时自动同步课表信息，根据课表提前自动开启教室内各系统设备，实现教室远程控制；此平台已实现基于PC端的安徽建筑大学南北校区所有多媒体教室与智慧教室的督导巡课功能。成交供应商需对此平台进行运维若平台在运维过程中功能出现故障或是数据对接出现问题要及时解决，涉及到的费用包含在本次报价内，采购人不再另外支付费用。</w:t>
      </w:r>
    </w:p>
    <w:p w14:paraId="7DE9DB5E">
      <w:pPr>
        <w:pStyle w:val="7"/>
        <w:numPr>
          <w:ilvl w:val="0"/>
          <w:numId w:val="0"/>
        </w:numPr>
        <w:ind w:left="420" w:leftChars="20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四、付款方式</w:t>
      </w:r>
    </w:p>
    <w:p w14:paraId="7C17C3F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合同到期且经采购人考核合格并扣除违约金（如 有）后一次性付清合同款。</w:t>
      </w:r>
    </w:p>
    <w:p w14:paraId="293E51DD">
      <w:pPr>
        <w:pStyle w:val="7"/>
        <w:numPr>
          <w:ilvl w:val="0"/>
          <w:numId w:val="0"/>
        </w:numPr>
        <w:ind w:left="420" w:leftChars="200" w:firstLine="0" w:firstLineChars="0"/>
        <w:rPr>
          <w:rFonts w:hint="default"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五、服务范围及要求</w:t>
      </w:r>
    </w:p>
    <w:p w14:paraId="12D83D32">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1、服务范围：</w:t>
      </w:r>
    </w:p>
    <w:p w14:paraId="0CB071B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（1）安徽建筑大学南校区多媒体教室共计121间，多媒体设备控制中心1间进行运维服务；</w:t>
      </w:r>
    </w:p>
    <w:p w14:paraId="6807866B">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（2）安徽建筑大学南校区117间教室考试运维服务，其中逸夫楼71间，东辅楼15间，主教楼31间以及北校区70间教室考试运维服务；</w:t>
      </w:r>
    </w:p>
    <w:p w14:paraId="03BCAA4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（3）安徽建筑大学南校区实验综合楼信息发布系统及会议室等进行运维服务；</w:t>
      </w:r>
    </w:p>
    <w:p w14:paraId="77DC9BB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（4）安徽建筑大学北校区多媒体教室共计70间，多媒体设备控制中心1间进行运维服务；</w:t>
      </w:r>
    </w:p>
    <w:p w14:paraId="654D967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具体设备现状以及教室内外环境等情况，供应商可自行到现场进行了解。若供应商因未及时勘察现场而导致报价缺项、漏项，造成成交后无法兑现服务，成交供应商自行承担一切后果。</w:t>
      </w:r>
    </w:p>
    <w:p w14:paraId="6C931472">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2、服务总体要求：</w:t>
      </w:r>
    </w:p>
    <w:p w14:paraId="61844DDA">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2.1、服务工作要求及内容</w:t>
      </w:r>
    </w:p>
    <w:p w14:paraId="2BAB8887">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（1）采购人应提供功放、计算机、投影机、中控等主要设备各2台作为备用机，多媒体教室设备出现故障后用于应急更换，多媒体教室设备出现故障中标人应及时处理。</w:t>
      </w:r>
    </w:p>
    <w:p w14:paraId="6EA15ED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在合同期内，中标人提供学校191间多媒体教室教学设备、2间多媒体控制中心、187间考试考场、实验综合楼信息发布系统及会议室进行驻点运维服务工作，运维其间因设备故障需进行维修、零配件更换、老旧投影机清洗及老旧投影灯泡更换等，由此产生的费用由中标人自行承担。 </w:t>
      </w:r>
    </w:p>
    <w:p w14:paraId="3FC00FA2">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 合同期内，中标人工作人员薪酬待遇、日常办公费用、办公器材均由中标人自行承担。 </w:t>
      </w:r>
    </w:p>
    <w:p w14:paraId="4624963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(5) 中标人在合同期内不能以任何理由（如国家汇率的变化、国家人员工资的增加、物价上涨、税收增加等）要求增加服务费用。 </w:t>
      </w:r>
    </w:p>
    <w:p w14:paraId="04A47A9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 中标人在合同期内不得转包或者分包服务。 </w:t>
      </w:r>
    </w:p>
    <w:p w14:paraId="34FF402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 由采购人为中标人提供办公场所。中标人应遵守学校相关管理规定，办公用房内不得住家、做饭、饮酒等，保持美观整洁。 </w:t>
      </w:r>
    </w:p>
    <w:p w14:paraId="3F4C0CF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(8) 在合同期内，本项目涉及的所有资产包括由中标人维修更换的所有设备、配件和耗材等都归学校所有。 </w:t>
      </w:r>
    </w:p>
    <w:p w14:paraId="6399B3BF">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中标人应自觉遵守校方的各项管理规定。</w:t>
      </w:r>
    </w:p>
    <w:p w14:paraId="1A918EB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2.2、外包服务需求</w:t>
      </w:r>
    </w:p>
    <w:p w14:paraId="5D1BC9C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次项目所涉及的网络中控产品有竞业达JYD-MNC9600-C、万讯IC1000、奕星YX3300、控捷KJ-2000为方便多媒体教室集中管理，要求成交供应商能够对以上所有设备进行统一管理，并能按照学校现有的管理方式和管理手段进行运维服务，实现与学校现有数据中台的数据对接（包含调停课表和教室预约表），能够根据学校教务课表进行数据联动，完成多媒体教室设备的自动开关机。</w:t>
      </w:r>
    </w:p>
    <w:p w14:paraId="0E18E15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2.3、运维服务管理平台</w:t>
      </w:r>
    </w:p>
    <w:p w14:paraId="6B8883D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2.3.1现有集中管控平台运维要求</w:t>
      </w:r>
    </w:p>
    <w:p w14:paraId="6F37B243">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目前使用“智能多媒体物联管理系统”来对南北校区多媒体教室和智慧教室进行集中统一管理，此集中管控平台已对接采购人数据中心的课表（包含调停课表和教室预约表），实时自动同步课表信息，已实现根据课表提前自动开启教室内各系统设备，实现教室远程控制；此平台已实现基于PC端的安徽建筑大学南北校区所有多媒体教室与智慧教室的督导巡课功能，实现教室视频画面和计算机桌面的远程监管功能，并实时自动同步课表信息，实现课程信息数据的自动同步，并可查看课程名称、课程编号、教师名称、教师所在学院、教室名称、上课班级及上课人数等课程信息。成交供应商需对此平台进行运维，保证在服务期内平台上的功能都能顺利使用并进行优化与升级，若平台功能出现故障或是数据对接出现问题要及时解决，涉及到的费用包含在本次报价内，采购人不再另外支付费用，采购人协调接口数据开放。</w:t>
      </w:r>
    </w:p>
    <w:p w14:paraId="46BEB3A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据备份与恢复：成交供应商需要定期备份采购人“智能多媒体物联管理系统”所有的数据，以便在发生故障或数据丢失时能够快速恢复数据。备份数据的频率和保存时间应该根据数据的重要程度和使用频率进行合理安排。</w:t>
      </w:r>
    </w:p>
    <w:p w14:paraId="1CFE8BCC">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（3）数据迁移与升级：“智能多媒体物联管理系统”的数据需要在升级或迁移时进行顺利转移。成交供应商应提供相应的工具和方便的操作界面，保证在数据迁移和升级过程中数据不会出现任何丢失或损坏。</w:t>
      </w:r>
    </w:p>
    <w:p w14:paraId="6C45D63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数据一致性：成交供应商需对“智能多媒体物联管理系统”的媒体文件进行分类和管理，不同的文件之间需要保持一致性。当进行文件复制、移动、删除等操作时，要保证数据的一致性和完整性，尤其是在多个用户同时操作时更需要注意。</w:t>
      </w:r>
    </w:p>
    <w:p w14:paraId="4E3701C6">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（5）数据安全性：成交供应商需要保证“智能多媒体物联管理系统”的数据安全性，防止数据被攻击者窃取、篡改或破坏</w:t>
      </w:r>
    </w:p>
    <w:p w14:paraId="0BD1C20E">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（6）权限管理：成交供应商能根据两校区不同的管理权限进行管理员账号的权限划分，从而实现南北校区的统一平台管理，确保多媒体教室管理的集中化与高效化。</w:t>
      </w:r>
    </w:p>
    <w:p w14:paraId="090E44C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2.3.2系统运维工具</w:t>
      </w:r>
    </w:p>
    <w:p w14:paraId="0370D71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利用学校现有的相关系统和视频监控设施，对多媒体教室进行全程监控，早于师生发现问题，并处理问题；推进运维工作的电子化流程管理，实现运维工作服务流程全面规范化和标准化，提高工作效率。</w:t>
      </w:r>
    </w:p>
    <w:p w14:paraId="1AF8569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维服务期内提供用于日常运维工作的管理工具，运维管理工具集服务管理、工单管理、资产管理、大屏管理、知识库管理、报表管理等功能模块，对接微信平台，实现故障报修的迅捷、高效以及网络运维的快速、主动。</w:t>
      </w:r>
    </w:p>
    <w:p w14:paraId="441D978C">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（1）运维服务管理平台需支持与本校统一身份认证平台对接接口。</w:t>
      </w:r>
    </w:p>
    <w:p w14:paraId="3E4BA96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（2）系统架构：服务器应基于Linux平台；软件采用三层结构，要求采用开放架构及标准的“表现层－逻辑层－数据层”三层次结构，平台的后台系统架构应采用纯B/S模式。</w:t>
      </w:r>
    </w:p>
    <w:p w14:paraId="77AEC28F">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（3）系统兼容性：移动端应采用H5技术开发，支持主流手机浏览器全兼容，可与其他系统对接。</w:t>
      </w:r>
    </w:p>
    <w:p w14:paraId="066AE89B">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成交供应商需在合同签订后完成运维服务管理平台的部署，并实现运维服务管理平台的所有功能，满足采购人的使用需求，同时能够完成对于前期多媒体教室运维数据的迁移，保障采购人运维数据的安全性和完整性。</w:t>
      </w:r>
    </w:p>
    <w:p w14:paraId="4E6A3123">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3.2.1系统运维工具具体功能</w:t>
      </w:r>
    </w:p>
    <w:p w14:paraId="5AEBF9B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（1）资产管理：</w:t>
      </w:r>
    </w:p>
    <w:p w14:paraId="29D7877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①支持设备基本信息的维护管理功能；</w:t>
      </w:r>
    </w:p>
    <w:p w14:paraId="4C74E3F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②支持设备的分类统计功能，基于项目、设备类别、年份的基础统计分析功能；</w:t>
      </w:r>
    </w:p>
    <w:p w14:paraId="3B59EDEB">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③支持设备的二维码标签生成功能，支持Web端实现的标签批量生成与打印功能；</w:t>
      </w:r>
    </w:p>
    <w:p w14:paraId="040927E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④支持设备维保信息管理功能；支持维保/质保期即将逾期的提醒功能；</w:t>
      </w:r>
    </w:p>
    <w:p w14:paraId="6E4C0F4C">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⑤支持绘制设备与设备模块之间的连接关系图；</w:t>
      </w:r>
    </w:p>
    <w:p w14:paraId="76F3BCA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⑥支持设备生命周期（变更）记录功能；</w:t>
      </w:r>
    </w:p>
    <w:p w14:paraId="7F99888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⑦支持批量复制资产功能；</w:t>
      </w:r>
    </w:p>
    <w:p w14:paraId="40172A2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⑧支持IP池管理功能，包括IP及端口的使用情况；</w:t>
      </w:r>
    </w:p>
    <w:p w14:paraId="53B94AA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⑨支持数字证书管理，实现数字证书到期提醒和延期功能。</w:t>
      </w:r>
    </w:p>
    <w:p w14:paraId="0670ACE7">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⑩支持相关附件文档上传和文档管理功能,</w:t>
      </w:r>
    </w:p>
    <w:p w14:paraId="2BA5C60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⑪支持实景图导入与导出功能，支持在web端直接对实景图进行标记，</w:t>
      </w:r>
    </w:p>
    <w:p w14:paraId="11ABBA0A">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⑫支持项目，合同与资产之间关系的深度钻取。</w:t>
      </w:r>
    </w:p>
    <w:p w14:paraId="040CD8E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单管理：管理用户端的服务请求，从服务报修开始到解决问题的全部过程，提供服务台、运维人员、客户方的三方不同权限管理界面，支持报修、受理并创建单号、转派、接单、处理、跟踪、查询等功能流程，并可手动或自动生成工单、并按照紧急程度来处理。</w:t>
      </w:r>
    </w:p>
    <w:p w14:paraId="7BE972B3">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①支持监测设备推送故障信息并自动创建工单以及二维码扫码报修；</w:t>
      </w:r>
    </w:p>
    <w:p w14:paraId="45E22EFE">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②支持自定义表单功能；</w:t>
      </w:r>
    </w:p>
    <w:p w14:paraId="1131AAC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③支持自定义流程功能，支持工单转派、挂起功能以及多人协作处理；</w:t>
      </w:r>
    </w:p>
    <w:p w14:paraId="397077D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④支持服务工单事件的响应级别和处理时间的管理，对没有接单或者处理时间快要逾期的事件，在小程序、公众号、APP、手机语音等功能出要做出提示。</w:t>
      </w:r>
    </w:p>
    <w:p w14:paraId="2AB2691F">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⑤支持工单处理通知用户进度，并在完成后通知用户评价功能，</w:t>
      </w:r>
    </w:p>
    <w:p w14:paraId="197780F6">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⑥支持工单转化成知识库的功能。</w:t>
      </w:r>
    </w:p>
    <w:p w14:paraId="189B27C6">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⑦查询服务事件可以自动关联此事件所包含的设备信息、设备位置、处理人员等信息，设备信息包含曾经涉及的服务事件信息。</w:t>
      </w:r>
    </w:p>
    <w:p w14:paraId="13519892">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运维巡检管理：可以按照区域划分、楼层划分等方式，定期或自定义的方式分别派送服务单给到对应区域负责人的账号，可由手机APP、微信小程序、微信公众号、网页浏览器等方式查看。</w:t>
      </w:r>
    </w:p>
    <w:p w14:paraId="3C56D103">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①支持设定运维巡检内容，运维巡检相关参数，并依据设定派发运维巡检任务；</w:t>
      </w:r>
    </w:p>
    <w:p w14:paraId="699D2DD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②提供微信，短信，语音等提醒方式；</w:t>
      </w:r>
    </w:p>
    <w:p w14:paraId="4DF565F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③支持对运维状态的统计分析，运维任务结束提供报告。</w:t>
      </w:r>
    </w:p>
    <w:p w14:paraId="5A55265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（4）变更管理：支持不同的变更应用不同的流程模板，支持多人审核，预审核通过。</w:t>
      </w:r>
    </w:p>
    <w:p w14:paraId="0FACDC9B">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（5）报表管理：</w:t>
      </w:r>
    </w:p>
    <w:p w14:paraId="7597E997">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①支持可自定义的对IT资产分类、使用年限、分布维保到期、过保预警统计分析、各类设备的使用阈值定义监测；</w:t>
      </w:r>
    </w:p>
    <w:p w14:paraId="5FE94A67">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②支持对报修时间段、常见报修位置分布、报修故障/处理情况对比、故障设备品牌、厂商排名等统计分析；</w:t>
      </w:r>
    </w:p>
    <w:p w14:paraId="27DFE1A0">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③支持运维人员服务评估排名、运维人员接单量排名等统计分析。支持统计分析生成报表。</w:t>
      </w:r>
    </w:p>
    <w:p w14:paraId="4D33F46D">
      <w:pPr>
        <w:spacing w:line="56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2.4、</w:t>
      </w:r>
      <w:r>
        <w:rPr>
          <w:rFonts w:hint="eastAsia" w:ascii="仿宋" w:hAnsi="仿宋" w:eastAsia="仿宋" w:cs="仿宋"/>
          <w:b/>
          <w:bCs/>
          <w:sz w:val="28"/>
          <w:szCs w:val="28"/>
        </w:rPr>
        <w:t>人员配备及服务要求</w:t>
      </w:r>
    </w:p>
    <w:p w14:paraId="0C7620D0">
      <w:pPr>
        <w:adjustRightInd w:val="0"/>
        <w:snapToGrid w:val="0"/>
        <w:spacing w:line="56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1.投标人根据必须为本项目配备相关专业人员</w:t>
      </w:r>
      <w:r>
        <w:rPr>
          <w:rFonts w:hint="eastAsia" w:ascii="仿宋" w:hAnsi="仿宋" w:eastAsia="仿宋" w:cs="仿宋"/>
          <w:b/>
          <w:bCs/>
          <w:sz w:val="28"/>
          <w:szCs w:val="28"/>
        </w:rPr>
        <w:t>（基本配备人员不少于</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人）：</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15"/>
        <w:gridCol w:w="1265"/>
        <w:gridCol w:w="1691"/>
        <w:gridCol w:w="1364"/>
        <w:gridCol w:w="1067"/>
        <w:gridCol w:w="1053"/>
      </w:tblGrid>
      <w:tr w14:paraId="5D99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2" w:type="pct"/>
            <w:noWrap w:val="0"/>
            <w:vAlign w:val="center"/>
          </w:tcPr>
          <w:p w14:paraId="453851FA">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序号</w:t>
            </w:r>
          </w:p>
        </w:tc>
        <w:tc>
          <w:tcPr>
            <w:tcW w:w="830" w:type="pct"/>
            <w:noWrap w:val="0"/>
            <w:vAlign w:val="center"/>
          </w:tcPr>
          <w:p w14:paraId="2398C427">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职务</w:t>
            </w:r>
          </w:p>
        </w:tc>
        <w:tc>
          <w:tcPr>
            <w:tcW w:w="742" w:type="pct"/>
            <w:noWrap w:val="0"/>
            <w:vAlign w:val="center"/>
          </w:tcPr>
          <w:p w14:paraId="3A452998">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基本配备人数</w:t>
            </w:r>
          </w:p>
        </w:tc>
        <w:tc>
          <w:tcPr>
            <w:tcW w:w="992" w:type="pct"/>
            <w:noWrap w:val="0"/>
            <w:vAlign w:val="center"/>
          </w:tcPr>
          <w:p w14:paraId="70423F29">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注册证书</w:t>
            </w:r>
          </w:p>
        </w:tc>
        <w:tc>
          <w:tcPr>
            <w:tcW w:w="800" w:type="pct"/>
            <w:noWrap w:val="0"/>
            <w:vAlign w:val="center"/>
          </w:tcPr>
          <w:p w14:paraId="1DF89E65">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专业</w:t>
            </w:r>
          </w:p>
        </w:tc>
        <w:tc>
          <w:tcPr>
            <w:tcW w:w="626" w:type="pct"/>
            <w:noWrap w:val="0"/>
            <w:vAlign w:val="center"/>
          </w:tcPr>
          <w:p w14:paraId="2FFE9504">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等级</w:t>
            </w:r>
          </w:p>
        </w:tc>
        <w:tc>
          <w:tcPr>
            <w:tcW w:w="616" w:type="pct"/>
            <w:noWrap w:val="0"/>
            <w:vAlign w:val="center"/>
          </w:tcPr>
          <w:p w14:paraId="360F06C5">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职称</w:t>
            </w:r>
          </w:p>
        </w:tc>
      </w:tr>
      <w:tr w14:paraId="3A76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92" w:type="pct"/>
            <w:noWrap w:val="0"/>
            <w:vAlign w:val="center"/>
          </w:tcPr>
          <w:p w14:paraId="32F6EA38">
            <w:pPr>
              <w:adjustRightInd w:val="0"/>
              <w:snapToGrid w:val="0"/>
              <w:spacing w:line="560" w:lineRule="exact"/>
              <w:jc w:val="center"/>
              <w:rPr>
                <w:rFonts w:hint="eastAsia" w:ascii="仿宋" w:hAnsi="仿宋" w:eastAsia="仿宋" w:cs="方正仿宋_GB2312"/>
                <w:sz w:val="24"/>
                <w:szCs w:val="24"/>
              </w:rPr>
            </w:pPr>
            <w:r>
              <w:rPr>
                <w:rFonts w:hint="eastAsia" w:ascii="仿宋" w:hAnsi="仿宋" w:eastAsia="仿宋" w:cs="方正仿宋_GB2312"/>
                <w:sz w:val="24"/>
                <w:szCs w:val="24"/>
              </w:rPr>
              <w:t>1</w:t>
            </w:r>
          </w:p>
        </w:tc>
        <w:tc>
          <w:tcPr>
            <w:tcW w:w="830" w:type="pct"/>
            <w:noWrap w:val="0"/>
            <w:vAlign w:val="center"/>
          </w:tcPr>
          <w:p w14:paraId="5A665D2D">
            <w:pPr>
              <w:adjustRightInd w:val="0"/>
              <w:snapToGrid w:val="0"/>
              <w:spacing w:line="560" w:lineRule="exact"/>
              <w:jc w:val="center"/>
              <w:rPr>
                <w:rFonts w:hint="eastAsia" w:ascii="仿宋" w:hAnsi="仿宋" w:eastAsia="仿宋" w:cs="仿宋"/>
                <w:sz w:val="24"/>
                <w:szCs w:val="24"/>
                <w:lang w:val="en-US" w:eastAsia="zh-CN"/>
              </w:rPr>
            </w:pPr>
          </w:p>
        </w:tc>
        <w:tc>
          <w:tcPr>
            <w:tcW w:w="742" w:type="pct"/>
            <w:noWrap w:val="0"/>
            <w:vAlign w:val="center"/>
          </w:tcPr>
          <w:p w14:paraId="1DE5D7CD">
            <w:pPr>
              <w:adjustRightInd w:val="0"/>
              <w:snapToGrid w:val="0"/>
              <w:spacing w:line="560" w:lineRule="exact"/>
              <w:jc w:val="center"/>
              <w:rPr>
                <w:rFonts w:hint="eastAsia" w:ascii="仿宋" w:hAnsi="仿宋" w:eastAsia="仿宋" w:cs="仿宋"/>
                <w:sz w:val="24"/>
                <w:szCs w:val="24"/>
                <w:lang w:val="en-US" w:eastAsia="zh-CN"/>
              </w:rPr>
            </w:pPr>
          </w:p>
        </w:tc>
        <w:tc>
          <w:tcPr>
            <w:tcW w:w="992" w:type="pct"/>
            <w:noWrap w:val="0"/>
            <w:vAlign w:val="center"/>
          </w:tcPr>
          <w:p w14:paraId="09DF4074">
            <w:pPr>
              <w:adjustRightInd w:val="0"/>
              <w:snapToGrid w:val="0"/>
              <w:spacing w:line="560" w:lineRule="exact"/>
              <w:jc w:val="center"/>
              <w:rPr>
                <w:rFonts w:hint="eastAsia" w:ascii="仿宋" w:hAnsi="仿宋" w:eastAsia="仿宋" w:cs="仿宋"/>
                <w:sz w:val="24"/>
                <w:szCs w:val="24"/>
                <w:lang w:val="zh-CN"/>
              </w:rPr>
            </w:pPr>
          </w:p>
        </w:tc>
        <w:tc>
          <w:tcPr>
            <w:tcW w:w="800" w:type="pct"/>
            <w:noWrap w:val="0"/>
            <w:vAlign w:val="center"/>
          </w:tcPr>
          <w:p w14:paraId="142C0663">
            <w:pPr>
              <w:adjustRightInd w:val="0"/>
              <w:snapToGrid w:val="0"/>
              <w:spacing w:line="560" w:lineRule="exact"/>
              <w:jc w:val="center"/>
              <w:rPr>
                <w:rFonts w:hint="eastAsia" w:ascii="仿宋" w:hAnsi="仿宋" w:eastAsia="仿宋" w:cs="仿宋"/>
                <w:sz w:val="24"/>
                <w:szCs w:val="24"/>
                <w:lang w:val="zh-CN"/>
              </w:rPr>
            </w:pPr>
          </w:p>
        </w:tc>
        <w:tc>
          <w:tcPr>
            <w:tcW w:w="626" w:type="pct"/>
            <w:noWrap w:val="0"/>
            <w:vAlign w:val="center"/>
          </w:tcPr>
          <w:p w14:paraId="42D17E64">
            <w:pPr>
              <w:adjustRightInd w:val="0"/>
              <w:snapToGrid w:val="0"/>
              <w:spacing w:line="560" w:lineRule="exact"/>
              <w:jc w:val="center"/>
              <w:rPr>
                <w:rFonts w:hint="default" w:ascii="仿宋" w:hAnsi="仿宋" w:eastAsia="仿宋" w:cs="方正仿宋_GB2312"/>
                <w:sz w:val="24"/>
                <w:szCs w:val="24"/>
                <w:lang w:val="en-US" w:eastAsia="zh-CN"/>
              </w:rPr>
            </w:pPr>
          </w:p>
        </w:tc>
        <w:tc>
          <w:tcPr>
            <w:tcW w:w="616" w:type="pct"/>
            <w:noWrap w:val="0"/>
            <w:vAlign w:val="center"/>
          </w:tcPr>
          <w:p w14:paraId="28EAC6B0">
            <w:pPr>
              <w:adjustRightInd w:val="0"/>
              <w:snapToGrid w:val="0"/>
              <w:spacing w:line="560" w:lineRule="exact"/>
              <w:jc w:val="center"/>
              <w:rPr>
                <w:rFonts w:hint="eastAsia" w:ascii="仿宋" w:hAnsi="仿宋" w:eastAsia="仿宋" w:cs="方正仿宋_GB2312"/>
                <w:sz w:val="24"/>
                <w:szCs w:val="24"/>
              </w:rPr>
            </w:pPr>
            <w:r>
              <w:rPr>
                <w:rFonts w:hint="eastAsia" w:ascii="仿宋" w:hAnsi="仿宋" w:eastAsia="仿宋" w:cs="方正仿宋_GB2312"/>
                <w:sz w:val="24"/>
                <w:szCs w:val="24"/>
              </w:rPr>
              <w:t>/</w:t>
            </w:r>
          </w:p>
        </w:tc>
      </w:tr>
      <w:tr w14:paraId="0ED2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2" w:type="pct"/>
            <w:noWrap w:val="0"/>
            <w:vAlign w:val="center"/>
          </w:tcPr>
          <w:p w14:paraId="1734822B">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30" w:type="pct"/>
            <w:noWrap w:val="0"/>
            <w:vAlign w:val="center"/>
          </w:tcPr>
          <w:p w14:paraId="246C38E4">
            <w:pPr>
              <w:adjustRightInd w:val="0"/>
              <w:snapToGrid w:val="0"/>
              <w:spacing w:line="560" w:lineRule="exact"/>
              <w:jc w:val="center"/>
              <w:rPr>
                <w:rFonts w:hint="default" w:ascii="仿宋" w:hAnsi="仿宋" w:eastAsia="仿宋" w:cs="仿宋"/>
                <w:sz w:val="24"/>
                <w:szCs w:val="24"/>
                <w:lang w:val="en-US" w:eastAsia="zh-CN"/>
              </w:rPr>
            </w:pPr>
          </w:p>
        </w:tc>
        <w:tc>
          <w:tcPr>
            <w:tcW w:w="742" w:type="pct"/>
            <w:noWrap w:val="0"/>
            <w:vAlign w:val="center"/>
          </w:tcPr>
          <w:p w14:paraId="5126B54C">
            <w:pPr>
              <w:adjustRightInd w:val="0"/>
              <w:snapToGrid w:val="0"/>
              <w:spacing w:line="560" w:lineRule="exact"/>
              <w:jc w:val="center"/>
              <w:rPr>
                <w:rFonts w:hint="default" w:ascii="仿宋" w:hAnsi="仿宋" w:eastAsia="仿宋" w:cs="仿宋"/>
                <w:sz w:val="24"/>
                <w:szCs w:val="24"/>
                <w:lang w:val="en-US" w:eastAsia="zh-CN"/>
              </w:rPr>
            </w:pPr>
          </w:p>
        </w:tc>
        <w:tc>
          <w:tcPr>
            <w:tcW w:w="992" w:type="pct"/>
            <w:noWrap w:val="0"/>
            <w:vAlign w:val="center"/>
          </w:tcPr>
          <w:p w14:paraId="58D9E0FA">
            <w:pPr>
              <w:adjustRightInd w:val="0"/>
              <w:snapToGrid w:val="0"/>
              <w:spacing w:line="560" w:lineRule="exact"/>
              <w:jc w:val="center"/>
              <w:rPr>
                <w:rFonts w:hint="eastAsia" w:ascii="仿宋" w:hAnsi="仿宋" w:eastAsia="仿宋" w:cs="仿宋"/>
                <w:sz w:val="24"/>
                <w:szCs w:val="24"/>
                <w:lang w:val="zh-CN" w:eastAsia="zh-CN"/>
              </w:rPr>
            </w:pPr>
          </w:p>
        </w:tc>
        <w:tc>
          <w:tcPr>
            <w:tcW w:w="800" w:type="pct"/>
            <w:noWrap w:val="0"/>
            <w:vAlign w:val="center"/>
          </w:tcPr>
          <w:p w14:paraId="047D8230">
            <w:pPr>
              <w:adjustRightInd w:val="0"/>
              <w:snapToGrid w:val="0"/>
              <w:spacing w:line="560" w:lineRule="exact"/>
              <w:jc w:val="center"/>
              <w:rPr>
                <w:rFonts w:hint="eastAsia" w:ascii="仿宋" w:hAnsi="仿宋" w:eastAsia="仿宋" w:cs="仿宋"/>
                <w:sz w:val="24"/>
                <w:szCs w:val="24"/>
                <w:lang w:val="zh-CN" w:eastAsia="zh-CN"/>
              </w:rPr>
            </w:pPr>
          </w:p>
        </w:tc>
        <w:tc>
          <w:tcPr>
            <w:tcW w:w="626" w:type="pct"/>
            <w:noWrap w:val="0"/>
            <w:vAlign w:val="center"/>
          </w:tcPr>
          <w:p w14:paraId="0C924EF6">
            <w:pPr>
              <w:adjustRightInd w:val="0"/>
              <w:snapToGrid w:val="0"/>
              <w:spacing w:line="560" w:lineRule="exact"/>
              <w:jc w:val="center"/>
              <w:rPr>
                <w:rFonts w:hint="eastAsia" w:ascii="仿宋" w:hAnsi="仿宋" w:eastAsia="仿宋" w:cs="仿宋"/>
                <w:sz w:val="24"/>
                <w:szCs w:val="24"/>
                <w:lang w:val="zh-CN" w:eastAsia="zh-CN"/>
              </w:rPr>
            </w:pPr>
          </w:p>
        </w:tc>
        <w:tc>
          <w:tcPr>
            <w:tcW w:w="616" w:type="pct"/>
            <w:noWrap w:val="0"/>
            <w:vAlign w:val="center"/>
          </w:tcPr>
          <w:p w14:paraId="7244FAE0">
            <w:pPr>
              <w:adjustRightInd w:val="0"/>
              <w:snapToGrid w:val="0"/>
              <w:spacing w:line="56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w:t>
            </w:r>
          </w:p>
        </w:tc>
      </w:tr>
      <w:tr w14:paraId="46A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2" w:type="pct"/>
            <w:noWrap w:val="0"/>
            <w:vAlign w:val="center"/>
          </w:tcPr>
          <w:p w14:paraId="3C12DC93">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30" w:type="pct"/>
            <w:noWrap w:val="0"/>
            <w:vAlign w:val="center"/>
          </w:tcPr>
          <w:p w14:paraId="049D9C22">
            <w:pPr>
              <w:adjustRightInd w:val="0"/>
              <w:snapToGrid w:val="0"/>
              <w:spacing w:line="560" w:lineRule="exact"/>
              <w:jc w:val="center"/>
              <w:rPr>
                <w:rFonts w:hint="default" w:ascii="仿宋" w:hAnsi="仿宋" w:eastAsia="仿宋" w:cs="仿宋"/>
                <w:sz w:val="24"/>
                <w:szCs w:val="24"/>
                <w:lang w:val="en-US" w:eastAsia="zh-CN"/>
              </w:rPr>
            </w:pPr>
          </w:p>
        </w:tc>
        <w:tc>
          <w:tcPr>
            <w:tcW w:w="742" w:type="pct"/>
            <w:noWrap w:val="0"/>
            <w:vAlign w:val="center"/>
          </w:tcPr>
          <w:p w14:paraId="08CFA90A">
            <w:pPr>
              <w:adjustRightInd w:val="0"/>
              <w:snapToGrid w:val="0"/>
              <w:spacing w:line="560" w:lineRule="exact"/>
              <w:jc w:val="center"/>
              <w:rPr>
                <w:rFonts w:hint="eastAsia" w:ascii="仿宋" w:hAnsi="仿宋" w:eastAsia="仿宋" w:cs="仿宋"/>
                <w:sz w:val="24"/>
                <w:szCs w:val="24"/>
                <w:lang w:val="en-US" w:eastAsia="zh-CN"/>
              </w:rPr>
            </w:pPr>
          </w:p>
        </w:tc>
        <w:tc>
          <w:tcPr>
            <w:tcW w:w="992" w:type="pct"/>
            <w:noWrap w:val="0"/>
            <w:vAlign w:val="center"/>
          </w:tcPr>
          <w:p w14:paraId="25A4F9B1">
            <w:pPr>
              <w:adjustRightInd w:val="0"/>
              <w:snapToGrid w:val="0"/>
              <w:spacing w:line="560" w:lineRule="exact"/>
              <w:jc w:val="center"/>
              <w:rPr>
                <w:rFonts w:hint="eastAsia" w:ascii="仿宋" w:hAnsi="仿宋" w:eastAsia="仿宋" w:cs="仿宋"/>
                <w:sz w:val="24"/>
                <w:szCs w:val="24"/>
                <w:lang w:val="zh-CN" w:eastAsia="zh-CN"/>
              </w:rPr>
            </w:pPr>
          </w:p>
        </w:tc>
        <w:tc>
          <w:tcPr>
            <w:tcW w:w="800" w:type="pct"/>
            <w:noWrap w:val="0"/>
            <w:vAlign w:val="center"/>
          </w:tcPr>
          <w:p w14:paraId="497A898B">
            <w:pPr>
              <w:adjustRightInd w:val="0"/>
              <w:snapToGrid w:val="0"/>
              <w:spacing w:line="560" w:lineRule="exact"/>
              <w:jc w:val="center"/>
              <w:rPr>
                <w:rFonts w:hint="default" w:ascii="仿宋" w:hAnsi="仿宋" w:eastAsia="仿宋" w:cs="仿宋"/>
                <w:sz w:val="24"/>
                <w:szCs w:val="24"/>
                <w:lang w:val="en-US" w:eastAsia="zh-CN"/>
              </w:rPr>
            </w:pPr>
          </w:p>
        </w:tc>
        <w:tc>
          <w:tcPr>
            <w:tcW w:w="626" w:type="pct"/>
            <w:noWrap w:val="0"/>
            <w:vAlign w:val="center"/>
          </w:tcPr>
          <w:p w14:paraId="2722F318">
            <w:pPr>
              <w:adjustRightInd w:val="0"/>
              <w:snapToGrid w:val="0"/>
              <w:spacing w:line="560" w:lineRule="exact"/>
              <w:jc w:val="center"/>
              <w:rPr>
                <w:rFonts w:hint="eastAsia" w:ascii="仿宋" w:hAnsi="仿宋" w:eastAsia="仿宋" w:cs="仿宋"/>
                <w:sz w:val="24"/>
                <w:szCs w:val="24"/>
                <w:lang w:val="zh-CN" w:eastAsia="zh-CN"/>
              </w:rPr>
            </w:pPr>
          </w:p>
        </w:tc>
        <w:tc>
          <w:tcPr>
            <w:tcW w:w="616" w:type="pct"/>
            <w:noWrap w:val="0"/>
            <w:vAlign w:val="center"/>
          </w:tcPr>
          <w:p w14:paraId="41F2B3BB">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7DC1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6437835B">
            <w:pPr>
              <w:adjustRightInd w:val="0"/>
              <w:snapToGrid w:val="0"/>
              <w:spacing w:line="240" w:lineRule="auto"/>
              <w:jc w:val="left"/>
              <w:rPr>
                <w:rFonts w:hint="eastAsia" w:ascii="仿宋" w:hAnsi="仿宋" w:eastAsia="仿宋" w:cs="方正仿宋_GB2312"/>
                <w:b/>
                <w:sz w:val="24"/>
                <w:szCs w:val="24"/>
              </w:rPr>
            </w:pPr>
            <w:r>
              <w:rPr>
                <w:rFonts w:hint="eastAsia" w:ascii="仿宋" w:hAnsi="仿宋" w:eastAsia="仿宋" w:cs="方正仿宋_GB2312"/>
                <w:b/>
                <w:sz w:val="24"/>
                <w:szCs w:val="24"/>
              </w:rPr>
              <w:t>注：</w:t>
            </w:r>
          </w:p>
          <w:p w14:paraId="1E4992BB">
            <w:pPr>
              <w:adjustRightInd w:val="0"/>
              <w:snapToGrid w:val="0"/>
              <w:spacing w:line="240" w:lineRule="auto"/>
              <w:jc w:val="left"/>
              <w:rPr>
                <w:rFonts w:hint="eastAsia" w:ascii="仿宋" w:hAnsi="仿宋" w:eastAsia="仿宋" w:cs="方正仿宋_GB2312"/>
                <w:b/>
                <w:sz w:val="24"/>
                <w:szCs w:val="24"/>
              </w:rPr>
            </w:pPr>
            <w:r>
              <w:rPr>
                <w:rFonts w:hint="eastAsia" w:ascii="仿宋" w:hAnsi="仿宋" w:eastAsia="仿宋" w:cs="方正仿宋_GB2312"/>
                <w:b/>
                <w:sz w:val="24"/>
                <w:szCs w:val="24"/>
              </w:rPr>
              <w:t>1.人员必须分别设置，不得交叉任职。</w:t>
            </w:r>
          </w:p>
          <w:p w14:paraId="753C4FBA">
            <w:pPr>
              <w:adjustRightInd w:val="0"/>
              <w:snapToGrid w:val="0"/>
              <w:spacing w:line="240" w:lineRule="auto"/>
              <w:jc w:val="left"/>
              <w:rPr>
                <w:rFonts w:hint="eastAsia" w:ascii="仿宋" w:hAnsi="仿宋" w:eastAsia="仿宋" w:cs="方正仿宋_GB2312"/>
                <w:sz w:val="24"/>
                <w:szCs w:val="24"/>
              </w:rPr>
            </w:pPr>
            <w:r>
              <w:rPr>
                <w:rFonts w:hint="eastAsia" w:ascii="仿宋" w:hAnsi="仿宋" w:eastAsia="仿宋" w:cs="方正仿宋_GB2312"/>
                <w:b/>
                <w:sz w:val="24"/>
                <w:szCs w:val="24"/>
              </w:rPr>
              <w:t>2.投标文件中须提供为本项目配备上述人员的证书及2024年1月1日以来，投标人为上述人员缴纳的任意连续3个月的社保证明材料（任意险种），否则作无效标处理。</w:t>
            </w:r>
          </w:p>
        </w:tc>
      </w:tr>
    </w:tbl>
    <w:p w14:paraId="0698FF58">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2.投标人必须书面承诺，所配备的人员，能到现场服务，否则作无效标处理。投标人应根据项目情况，配备相关专业人员（填写人员配备表）。</w:t>
      </w:r>
    </w:p>
    <w:p w14:paraId="299A88D3">
      <w:pPr>
        <w:pStyle w:val="7"/>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2.4、考核要求</w:t>
      </w:r>
    </w:p>
    <w:p w14:paraId="393F7188">
      <w:pPr>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按照招标文件中要求进行驻点运维服务项目考核。</w:t>
      </w:r>
    </w:p>
    <w:p w14:paraId="1AA2CA57">
      <w:pPr>
        <w:pStyle w:val="7"/>
        <w:numPr>
          <w:ilvl w:val="0"/>
          <w:numId w:val="0"/>
        </w:numPr>
        <w:ind w:left="420" w:leftChars="200" w:firstLine="0" w:firstLineChars="0"/>
        <w:rPr>
          <w:rFonts w:hint="eastAsia" w:ascii="仿宋" w:hAnsi="仿宋" w:eastAsia="仿宋" w:cs="仿宋"/>
          <w:b/>
          <w:bCs/>
          <w:sz w:val="28"/>
          <w:szCs w:val="28"/>
        </w:rPr>
      </w:pPr>
      <w:r>
        <w:rPr>
          <w:rFonts w:hint="eastAsia" w:ascii="仿宋" w:hAnsi="仿宋" w:eastAsia="仿宋" w:cs="仿宋"/>
          <w:b/>
          <w:bCs w:val="0"/>
          <w:sz w:val="28"/>
          <w:szCs w:val="28"/>
        </w:rPr>
        <w:t>六、商务部分调研【</w:t>
      </w:r>
      <w:r>
        <w:rPr>
          <w:rFonts w:hint="eastAsia" w:ascii="仿宋" w:hAnsi="仿宋" w:eastAsia="仿宋" w:cs="仿宋"/>
          <w:b/>
          <w:bCs w:val="0"/>
          <w:sz w:val="28"/>
          <w:szCs w:val="28"/>
          <w:lang w:val="en-US" w:eastAsia="zh-CN"/>
        </w:rPr>
        <w:t>各</w:t>
      </w:r>
      <w:r>
        <w:rPr>
          <w:rFonts w:hint="eastAsia" w:ascii="仿宋" w:hAnsi="仿宋" w:eastAsia="仿宋" w:cs="仿宋"/>
          <w:b/>
          <w:bCs w:val="0"/>
          <w:sz w:val="28"/>
          <w:szCs w:val="28"/>
        </w:rPr>
        <w:t>单</w:t>
      </w:r>
      <w:r>
        <w:rPr>
          <w:rFonts w:hint="eastAsia" w:ascii="仿宋" w:hAnsi="仿宋" w:eastAsia="仿宋" w:cs="仿宋"/>
          <w:b/>
          <w:bCs/>
          <w:sz w:val="28"/>
          <w:szCs w:val="28"/>
        </w:rPr>
        <w:t>位请根据本单位实际情况填写】</w:t>
      </w:r>
    </w:p>
    <w:p w14:paraId="0AD80456">
      <w:pPr>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1.投标人综合实力</w:t>
      </w:r>
    </w:p>
    <w:p w14:paraId="1324234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供应商具有具有经中国国家认证认可监督管理委员会认证机构颁发的有效期内的质量管理体系认证、职业健康安全管理体系认证、售后服务相关体系认证、信息技术服务管理体系认证、信息安全管理体系认证的资质</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1BFCBEAB">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lang w:val="en-US" w:eastAsia="zh-CN" w:bidi="ar-SA"/>
        </w:rPr>
        <w:t>（2）投标供应商具有信息技术服务运行维护标准（ITSS）资质二级及以上资质证书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r>
        <w:rPr>
          <w:rFonts w:hint="eastAsia" w:ascii="仿宋" w:hAnsi="仿宋" w:eastAsia="仿宋" w:cs="仿宋"/>
          <w:color w:val="000000"/>
          <w:kern w:val="2"/>
          <w:sz w:val="28"/>
          <w:szCs w:val="28"/>
          <w:lang w:val="en-US" w:eastAsia="zh-CN" w:bidi="ar-SA"/>
        </w:rPr>
        <w:t>，三级资质证书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3A6CEEB2">
      <w:pPr>
        <w:pStyle w:val="7"/>
        <w:keepNext w:val="0"/>
        <w:keepLines w:val="0"/>
        <w:pageBreakBefore w:val="0"/>
        <w:widowControl w:val="0"/>
        <w:kinsoku/>
        <w:wordWrap/>
        <w:overflowPunct/>
        <w:topLinePunct w:val="0"/>
        <w:autoSpaceDE/>
        <w:autoSpaceDN/>
        <w:bidi w:val="0"/>
        <w:adjustRightInd/>
        <w:snapToGrid/>
        <w:spacing w:line="360" w:lineRule="auto"/>
        <w:ind w:left="560" w:leftChars="0" w:hanging="560" w:hanging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（3）投标供应商具有具有信息系统建设和服务能力二级及以上资质证书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r>
        <w:rPr>
          <w:rFonts w:hint="eastAsia" w:ascii="仿宋" w:hAnsi="仿宋" w:eastAsia="仿宋" w:cs="仿宋"/>
          <w:color w:val="000000"/>
          <w:kern w:val="2"/>
          <w:sz w:val="28"/>
          <w:szCs w:val="28"/>
          <w:lang w:val="en-US" w:eastAsia="zh-CN" w:bidi="ar-SA"/>
        </w:rPr>
        <w:t>，三级资质证书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1B753379">
      <w:pPr>
        <w:pStyle w:val="7"/>
        <w:keepNext w:val="0"/>
        <w:keepLines w:val="0"/>
        <w:pageBreakBefore w:val="0"/>
        <w:widowControl w:val="0"/>
        <w:kinsoku/>
        <w:wordWrap/>
        <w:overflowPunct/>
        <w:topLinePunct w:val="0"/>
        <w:autoSpaceDE/>
        <w:autoSpaceDN/>
        <w:bidi w:val="0"/>
        <w:adjustRightInd/>
        <w:snapToGrid/>
        <w:spacing w:line="360" w:lineRule="auto"/>
        <w:ind w:left="560" w:leftChars="0" w:hanging="560" w:hanging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（4）投标人供应商具有信息系统安全集成服务二级及以上资质证书</w:t>
      </w:r>
    </w:p>
    <w:p w14:paraId="2416537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r>
        <w:rPr>
          <w:rFonts w:hint="eastAsia" w:ascii="仿宋" w:hAnsi="仿宋" w:eastAsia="仿宋" w:cs="仿宋"/>
          <w:color w:val="000000"/>
          <w:kern w:val="2"/>
          <w:sz w:val="28"/>
          <w:szCs w:val="28"/>
          <w:lang w:val="en-US" w:eastAsia="zh-CN" w:bidi="ar-SA"/>
        </w:rPr>
        <w:t>，三级资质证书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46AC87AC">
      <w:pPr>
        <w:pStyle w:val="7"/>
        <w:keepNext w:val="0"/>
        <w:keepLines w:val="0"/>
        <w:pageBreakBefore w:val="0"/>
        <w:widowControl w:val="0"/>
        <w:kinsoku/>
        <w:wordWrap/>
        <w:overflowPunct/>
        <w:topLinePunct w:val="0"/>
        <w:autoSpaceDE/>
        <w:autoSpaceDN/>
        <w:bidi w:val="0"/>
        <w:adjustRightInd/>
        <w:snapToGrid/>
        <w:spacing w:line="360" w:lineRule="auto"/>
        <w:ind w:left="560" w:leftChars="0" w:hanging="560" w:hanging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（5）投标供应商具有信息系统安全运维服务二级及以上资质证书</w:t>
      </w:r>
    </w:p>
    <w:p w14:paraId="4F8997C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r>
        <w:rPr>
          <w:rFonts w:hint="eastAsia" w:ascii="仿宋" w:hAnsi="仿宋" w:eastAsia="仿宋" w:cs="仿宋"/>
          <w:color w:val="000000"/>
          <w:kern w:val="2"/>
          <w:sz w:val="28"/>
          <w:szCs w:val="28"/>
          <w:lang w:val="en-US" w:eastAsia="zh-CN" w:bidi="ar-SA"/>
        </w:rPr>
        <w:t>，三级资质证书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4F6357A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注：调研文件中提供上述证书扫描件。</w:t>
      </w:r>
    </w:p>
    <w:p w14:paraId="45D6AC16">
      <w:pPr>
        <w:numPr>
          <w:ilvl w:val="0"/>
          <w:numId w:val="0"/>
        </w:num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2.服务团队成员资质</w:t>
      </w:r>
    </w:p>
    <w:p w14:paraId="574FB01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（1）投标供应商配备运维经理具有工业和信息化部电子工业标准化研究院、国家信息技术服务标准工作组颁发的IT服务项目经理认证证书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2021AEC6">
      <w:pPr>
        <w:bidi w:val="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（2）投标供应商其它运维人员具有中华人民共和国人力资源和社会保障部、工业和信息化部批准颁发的网络工程师认证证书证书</w:t>
      </w:r>
      <w:r>
        <w:rPr>
          <w:rFonts w:hint="eastAsia" w:ascii="仿宋" w:hAnsi="仿宋" w:eastAsia="仿宋" w:cs="仿宋"/>
          <w:color w:val="000000"/>
          <w:kern w:val="2"/>
          <w:sz w:val="28"/>
          <w:szCs w:val="28"/>
          <w:u w:val="single"/>
          <w:lang w:val="en-US" w:eastAsia="zh-CN" w:bidi="ar-SA"/>
        </w:rPr>
        <w:t xml:space="preserve">    个</w:t>
      </w:r>
    </w:p>
    <w:p w14:paraId="2CC24005">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 xml:space="preserve">注：同一人具有多个证书不可重复计分，调研文件中须同时提供： </w:t>
      </w:r>
    </w:p>
    <w:p w14:paraId="67AF30CE">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1）人员证书扫描件；</w:t>
      </w:r>
    </w:p>
    <w:p w14:paraId="1B08DE1A">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2）供应商为上述人员缴纳的近6个月内（任意连续3个月，若投标人成立不足3个月，提供1个月社保证明）的社保证明材料，社保证明材料形式详见第二章投标人须知前附表（提供任意五险之一的社保缴纳证明即可）。</w:t>
      </w:r>
    </w:p>
    <w:p w14:paraId="6B281244">
      <w:pPr>
        <w:numPr>
          <w:ilvl w:val="0"/>
          <w:numId w:val="0"/>
        </w:numPr>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3.投标人业绩</w:t>
      </w:r>
    </w:p>
    <w:p w14:paraId="1F051D3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lang w:val="en-US" w:eastAsia="zh-CN" w:bidi="ar-SA"/>
        </w:rPr>
        <w:t>自2021年1月1日以来，供应商具有校园多媒体教室（智慧教室）安装业绩或运维业绩案例</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14:paraId="6D9EB751">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注：</w:t>
      </w:r>
      <w:r>
        <w:rPr>
          <w:rFonts w:hint="eastAsia" w:ascii="仿宋" w:hAnsi="仿宋" w:eastAsia="仿宋" w:cs="仿宋"/>
          <w:b/>
          <w:bCs/>
          <w:color w:val="000000"/>
          <w:kern w:val="2"/>
          <w:sz w:val="28"/>
          <w:szCs w:val="28"/>
          <w:lang w:val="en-US" w:eastAsia="zh-CN" w:bidi="ar-SA"/>
        </w:rPr>
        <w:t>调研</w:t>
      </w:r>
      <w:r>
        <w:rPr>
          <w:rFonts w:hint="default" w:ascii="仿宋" w:hAnsi="仿宋" w:eastAsia="仿宋" w:cs="仿宋"/>
          <w:b/>
          <w:bCs/>
          <w:color w:val="000000"/>
          <w:kern w:val="2"/>
          <w:sz w:val="28"/>
          <w:szCs w:val="28"/>
          <w:lang w:val="en-US" w:eastAsia="zh-CN" w:bidi="ar-SA"/>
        </w:rPr>
        <w:t>文件中同时提供：</w:t>
      </w:r>
    </w:p>
    <w:p w14:paraId="770661F6">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1）中标通知书或中标网站链接、业绩合同扫描件或影印件；</w:t>
      </w:r>
    </w:p>
    <w:p w14:paraId="0F68EE2C">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2）如提供的上述材料无法体现合同类别、合同签订时间等关键信息的，须另附业主单位提供的相关证明材料，否则不得分。</w:t>
      </w:r>
    </w:p>
    <w:p w14:paraId="24D58FA6">
      <w:pPr>
        <w:pStyle w:val="7"/>
        <w:rPr>
          <w:rFonts w:hint="eastAsia" w:ascii="仿宋" w:hAnsi="仿宋" w:eastAsia="仿宋" w:cs="仿宋"/>
          <w:sz w:val="28"/>
          <w:szCs w:val="28"/>
          <w:lang w:val="en-US" w:eastAsia="zh-CN"/>
        </w:rPr>
      </w:pPr>
      <w:r>
        <w:rPr>
          <w:rFonts w:hint="eastAsia" w:ascii="仿宋" w:hAnsi="仿宋" w:eastAsia="仿宋" w:cs="仿宋"/>
          <w:b/>
          <w:bCs/>
          <w:sz w:val="28"/>
          <w:szCs w:val="28"/>
        </w:rPr>
        <w:t>七、其他方面的建议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CC0076-F436-4F87-9F20-D2B0657AF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29BD8F-D8E5-400A-8D79-B69AAB9B3707}"/>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3F291D8D-3460-456C-B1BB-A621440CD003}"/>
  </w:font>
  <w:font w:name="微软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CB313ED5-0ED6-4C5A-9D0C-2B1D6F7DCE5A}"/>
  </w:font>
  <w:font w:name="仿宋_GB2312">
    <w:altName w:val="仿宋"/>
    <w:panose1 w:val="02010609030101010101"/>
    <w:charset w:val="86"/>
    <w:family w:val="auto"/>
    <w:pitch w:val="default"/>
    <w:sig w:usb0="00000000" w:usb1="00000000" w:usb2="00000000" w:usb3="00000000" w:csb0="00040000" w:csb1="00000000"/>
    <w:embedRegular r:id="rId5" w:fontKey="{C60950C6-B6AC-42B9-8BFD-7800D9B674DA}"/>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69CCE"/>
    <w:multiLevelType w:val="singleLevel"/>
    <w:tmpl w:val="AA469CCE"/>
    <w:lvl w:ilvl="0" w:tentative="0">
      <w:start w:val="1"/>
      <w:numFmt w:val="chineseCounting"/>
      <w:suff w:val="nothing"/>
      <w:lvlText w:val="%1、"/>
      <w:lvlJc w:val="left"/>
      <w:rPr>
        <w:rFonts w:hint="eastAsia"/>
      </w:rPr>
    </w:lvl>
  </w:abstractNum>
  <w:abstractNum w:abstractNumId="1">
    <w:nsid w:val="ED65F4A2"/>
    <w:multiLevelType w:val="multilevel"/>
    <w:tmpl w:val="ED65F4A2"/>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suff w:val="nothing"/>
      <w:lvlText w:val="%1.%2."/>
      <w:lvlJc w:val="left"/>
      <w:pPr>
        <w:tabs>
          <w:tab w:val="left" w:pos="420"/>
        </w:tabs>
        <w:ind w:left="575" w:hanging="575"/>
      </w:pPr>
      <w:rPr>
        <w:rFonts w:hint="eastAsia" w:ascii="宋体" w:hAnsi="宋体" w:eastAsia="宋体" w:cs="宋体"/>
      </w:rPr>
    </w:lvl>
    <w:lvl w:ilvl="2" w:tentative="0">
      <w:start w:val="1"/>
      <w:numFmt w:val="decimal"/>
      <w:pStyle w:val="2"/>
      <w:isLgl/>
      <w:suff w:val="nothing"/>
      <w:lvlText w:val="%1.%2.%3."/>
      <w:lvlJc w:val="left"/>
      <w:pPr>
        <w:tabs>
          <w:tab w:val="left" w:pos="420"/>
        </w:tabs>
        <w:ind w:left="720" w:hanging="720"/>
      </w:pPr>
      <w:rPr>
        <w:rFonts w:hint="eastAsia" w:ascii="宋体" w:hAnsi="宋体" w:eastAsia="宋体" w:cs="宋体"/>
      </w:rPr>
    </w:lvl>
    <w:lvl w:ilvl="3" w:tentative="0">
      <w:start w:val="1"/>
      <w:numFmt w:val="decimal"/>
      <w:isLgl/>
      <w:suff w:val="nothing"/>
      <w:lvlText w:val="%1.%2.%3.%4."/>
      <w:lvlJc w:val="left"/>
      <w:pPr>
        <w:tabs>
          <w:tab w:val="left" w:pos="420"/>
        </w:tabs>
        <w:ind w:left="864" w:hanging="864"/>
      </w:pPr>
      <w:rPr>
        <w:rFonts w:hint="eastAsia" w:ascii="宋体" w:hAnsi="宋体" w:eastAsia="宋体" w:cs="宋体"/>
      </w:rPr>
    </w:lvl>
    <w:lvl w:ilvl="4" w:tentative="0">
      <w:start w:val="1"/>
      <w:numFmt w:val="decimal"/>
      <w:isLgl/>
      <w:suff w:val="nothing"/>
      <w:lvlText w:val="%1.%2.%3.%4.%5."/>
      <w:lvlJc w:val="left"/>
      <w:pPr>
        <w:tabs>
          <w:tab w:val="left" w:pos="420"/>
        </w:tabs>
        <w:ind w:left="1008" w:hanging="1008"/>
      </w:pPr>
      <w:rPr>
        <w:rFonts w:hint="eastAsia" w:ascii="宋体" w:hAnsi="宋体" w:eastAsia="宋体" w:cs="宋体"/>
      </w:rPr>
    </w:lvl>
    <w:lvl w:ilvl="5" w:tentative="0">
      <w:start w:val="1"/>
      <w:numFmt w:val="decimal"/>
      <w:isLgl/>
      <w:suff w:val="nothing"/>
      <w:lvlText w:val="%1.%2.%3.%4.%5.%6."/>
      <w:lvlJc w:val="left"/>
      <w:pPr>
        <w:tabs>
          <w:tab w:val="left" w:pos="420"/>
        </w:tabs>
        <w:ind w:left="1151" w:hanging="1151"/>
      </w:pPr>
      <w:rPr>
        <w:rFonts w:hint="eastAsia" w:ascii="宋体" w:hAnsi="宋体" w:eastAsia="宋体" w:cs="宋体"/>
      </w:rPr>
    </w:lvl>
    <w:lvl w:ilvl="6" w:tentative="0">
      <w:start w:val="1"/>
      <w:numFmt w:val="decimal"/>
      <w:isLgl/>
      <w:suff w:val="nothing"/>
      <w:lvlText w:val="%1.%2.%3.%4.%5.%6.%7."/>
      <w:lvlJc w:val="left"/>
      <w:pPr>
        <w:tabs>
          <w:tab w:val="left" w:pos="420"/>
        </w:tabs>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mY1ZGJkYzAyYjQxOGZlMTE1MTk3ODY1MmNmOTIifQ=="/>
  </w:docVars>
  <w:rsids>
    <w:rsidRoot w:val="00000000"/>
    <w:rsid w:val="00B66ACB"/>
    <w:rsid w:val="022D6D1F"/>
    <w:rsid w:val="05364797"/>
    <w:rsid w:val="08114BF3"/>
    <w:rsid w:val="09121ED9"/>
    <w:rsid w:val="0954361A"/>
    <w:rsid w:val="0A960E3D"/>
    <w:rsid w:val="0B323ACF"/>
    <w:rsid w:val="0B9F01C5"/>
    <w:rsid w:val="0C296283"/>
    <w:rsid w:val="0C523D2B"/>
    <w:rsid w:val="0CAE6408"/>
    <w:rsid w:val="0E3825D6"/>
    <w:rsid w:val="0E8A515C"/>
    <w:rsid w:val="0EF146A7"/>
    <w:rsid w:val="0F1E29AB"/>
    <w:rsid w:val="10753E24"/>
    <w:rsid w:val="110C5D35"/>
    <w:rsid w:val="11EF2B50"/>
    <w:rsid w:val="120F54AE"/>
    <w:rsid w:val="12787444"/>
    <w:rsid w:val="12B96F94"/>
    <w:rsid w:val="135E2C79"/>
    <w:rsid w:val="15B003DE"/>
    <w:rsid w:val="19744A3F"/>
    <w:rsid w:val="1A52463A"/>
    <w:rsid w:val="1A8448EE"/>
    <w:rsid w:val="1AF559C8"/>
    <w:rsid w:val="1B421536"/>
    <w:rsid w:val="1C5B1EE6"/>
    <w:rsid w:val="1C8125D6"/>
    <w:rsid w:val="1D1B6AD0"/>
    <w:rsid w:val="1EA8401C"/>
    <w:rsid w:val="1F494152"/>
    <w:rsid w:val="20E6598F"/>
    <w:rsid w:val="276A612A"/>
    <w:rsid w:val="297B1E59"/>
    <w:rsid w:val="2A486039"/>
    <w:rsid w:val="2C7072A9"/>
    <w:rsid w:val="2E1B70C4"/>
    <w:rsid w:val="2E1F2D74"/>
    <w:rsid w:val="2E6647A7"/>
    <w:rsid w:val="2E6C3ADF"/>
    <w:rsid w:val="35597A60"/>
    <w:rsid w:val="35801486"/>
    <w:rsid w:val="36362F59"/>
    <w:rsid w:val="380674CE"/>
    <w:rsid w:val="3B3616FD"/>
    <w:rsid w:val="3BB80C52"/>
    <w:rsid w:val="3D007EC3"/>
    <w:rsid w:val="3D917B46"/>
    <w:rsid w:val="3E7E4551"/>
    <w:rsid w:val="42491FBA"/>
    <w:rsid w:val="43043D8C"/>
    <w:rsid w:val="434319A5"/>
    <w:rsid w:val="45621944"/>
    <w:rsid w:val="45F12DF0"/>
    <w:rsid w:val="468544C0"/>
    <w:rsid w:val="46AB11F1"/>
    <w:rsid w:val="48040D0B"/>
    <w:rsid w:val="49B317DB"/>
    <w:rsid w:val="4B831C8E"/>
    <w:rsid w:val="4EAE462B"/>
    <w:rsid w:val="4EFD4DF5"/>
    <w:rsid w:val="510E0CFA"/>
    <w:rsid w:val="530166DB"/>
    <w:rsid w:val="540939FA"/>
    <w:rsid w:val="55672339"/>
    <w:rsid w:val="5DA31FC6"/>
    <w:rsid w:val="605E0C2A"/>
    <w:rsid w:val="620F495A"/>
    <w:rsid w:val="63112227"/>
    <w:rsid w:val="65094504"/>
    <w:rsid w:val="65E03AD3"/>
    <w:rsid w:val="68F24043"/>
    <w:rsid w:val="6BA44B8B"/>
    <w:rsid w:val="6C353187"/>
    <w:rsid w:val="6C6F33D9"/>
    <w:rsid w:val="6D5F3351"/>
    <w:rsid w:val="6DF40E20"/>
    <w:rsid w:val="6F76416C"/>
    <w:rsid w:val="703025E3"/>
    <w:rsid w:val="72C306E6"/>
    <w:rsid w:val="72E225EB"/>
    <w:rsid w:val="73351CBE"/>
    <w:rsid w:val="73721B22"/>
    <w:rsid w:val="7717196B"/>
    <w:rsid w:val="77AA49AD"/>
    <w:rsid w:val="7B03098C"/>
    <w:rsid w:val="7CF624BE"/>
    <w:rsid w:val="7E21254C"/>
    <w:rsid w:val="7F39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line="360" w:lineRule="auto"/>
      <w:ind w:left="720" w:leftChars="0" w:hanging="720" w:firstLineChars="0"/>
      <w:outlineLvl w:val="2"/>
    </w:pPr>
    <w:rPr>
      <w:rFonts w:eastAsia="宋体" w:asciiTheme="minorAscii" w:hAnsiTheme="minorAscii"/>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next w:val="6"/>
    <w:qFormat/>
    <w:uiPriority w:val="0"/>
    <w:pPr>
      <w:ind w:firstLine="660"/>
    </w:pPr>
    <w:rPr>
      <w:rFonts w:ascii="微软简标宋" w:hAnsi="微软简标宋"/>
      <w:color w:val="000000"/>
      <w:sz w:val="24"/>
    </w:rPr>
  </w:style>
  <w:style w:type="paragraph" w:styleId="6">
    <w:name w:val="envelope return"/>
    <w:basedOn w:val="1"/>
    <w:qFormat/>
    <w:uiPriority w:val="0"/>
    <w:pPr>
      <w:snapToGrid w:val="0"/>
    </w:pPr>
    <w:rPr>
      <w:rFonts w:ascii="Arial" w:hAnsi="Arial"/>
    </w:rPr>
  </w:style>
  <w:style w:type="paragraph" w:styleId="7">
    <w:name w:val="Body Text First Indent 2"/>
    <w:basedOn w:val="5"/>
    <w:next w:val="1"/>
    <w:qFormat/>
    <w:uiPriority w:val="0"/>
    <w:pPr>
      <w:ind w:left="420" w:firstLine="420"/>
    </w:p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4808</Words>
  <Characters>4963</Characters>
  <Lines>0</Lines>
  <Paragraphs>0</Paragraphs>
  <TotalTime>6</TotalTime>
  <ScaleCrop>false</ScaleCrop>
  <LinksUpToDate>false</LinksUpToDate>
  <CharactersWithSpaces>5059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微信用户</cp:lastModifiedBy>
  <dcterms:modified xsi:type="dcterms:W3CDTF">2025-04-23T04:13:42Z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19A006D1F9A24729BC337A29D8D0732E_13</vt:lpwstr>
  </property>
  <property fmtid="{D5CDD505-2E9C-101B-9397-08002B2CF9AE}" pid="4" name="KSOTemplateDocerSaveRecord">
    <vt:lpwstr>eyJoZGlkIjoiY2ZmZmY1ZGJkYzAyYjQxOGZlMTE1MTk3ODY1MmNmOTIiLCJ1c2VySWQiOiIxMjQwMDMyMzQyIn0=</vt:lpwstr>
  </property>
</Properties>
</file>