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B0815">
      <w:pPr>
        <w:spacing w:line="56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单位名称（公章）：</w:t>
      </w:r>
    </w:p>
    <w:p w14:paraId="40FB94A6">
      <w:pPr>
        <w:spacing w:line="560" w:lineRule="exact"/>
        <w:rPr>
          <w:rFonts w:hint="eastAsia" w:ascii="仿宋_GB2312" w:hAnsi="仿宋_GB2312" w:eastAsia="仿宋_GB2312" w:cs="仿宋_GB2312"/>
          <w:b/>
          <w:sz w:val="32"/>
          <w:szCs w:val="32"/>
        </w:rPr>
      </w:pPr>
    </w:p>
    <w:p w14:paraId="36FE2453">
      <w:pPr>
        <w:spacing w:line="56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联系人及联系方式：</w:t>
      </w:r>
    </w:p>
    <w:p w14:paraId="42AD484B">
      <w:pPr>
        <w:spacing w:line="560" w:lineRule="exact"/>
        <w:rPr>
          <w:rFonts w:hint="eastAsia" w:ascii="仿宋_GB2312" w:hAnsi="仿宋_GB2312" w:eastAsia="仿宋_GB2312" w:cs="仿宋_GB2312"/>
          <w:b/>
          <w:sz w:val="32"/>
          <w:szCs w:val="32"/>
        </w:rPr>
      </w:pPr>
    </w:p>
    <w:p w14:paraId="1104A5BB">
      <w:pPr>
        <w:numPr>
          <w:ilvl w:val="0"/>
          <w:numId w:val="1"/>
        </w:numPr>
        <w:spacing w:line="560" w:lineRule="exact"/>
        <w:rPr>
          <w:rFonts w:ascii="仿宋" w:hAnsi="仿宋" w:eastAsia="仿宋" w:cs="仿宋"/>
          <w:sz w:val="32"/>
          <w:szCs w:val="32"/>
        </w:rPr>
      </w:pPr>
      <w:r>
        <w:rPr>
          <w:rFonts w:hint="eastAsia" w:ascii="仿宋" w:hAnsi="仿宋" w:eastAsia="仿宋" w:cs="仿宋"/>
          <w:b/>
          <w:sz w:val="32"/>
          <w:szCs w:val="32"/>
        </w:rPr>
        <w:t>项目名称：</w:t>
      </w:r>
      <w:r>
        <w:rPr>
          <w:rFonts w:hint="eastAsia" w:ascii="仿宋" w:hAnsi="仿宋" w:eastAsia="仿宋" w:cs="仿宋"/>
          <w:sz w:val="32"/>
          <w:szCs w:val="32"/>
        </w:rPr>
        <w:t>安徽建筑大学高频双台阵地震模拟试验平台(三期）——第四包 电气专业实验设备更新项目</w:t>
      </w:r>
    </w:p>
    <w:p w14:paraId="59D8094C">
      <w:pPr>
        <w:numPr>
          <w:ilvl w:val="0"/>
          <w:numId w:val="1"/>
        </w:numPr>
        <w:spacing w:line="560" w:lineRule="exact"/>
        <w:rPr>
          <w:rFonts w:ascii="仿宋" w:hAnsi="仿宋" w:eastAsia="仿宋" w:cs="仿宋"/>
          <w:sz w:val="32"/>
          <w:szCs w:val="32"/>
        </w:rPr>
      </w:pPr>
      <w:r>
        <w:rPr>
          <w:rFonts w:hint="eastAsia" w:ascii="仿宋" w:hAnsi="仿宋" w:eastAsia="仿宋" w:cs="仿宋"/>
          <w:b/>
          <w:sz w:val="32"/>
          <w:szCs w:val="32"/>
        </w:rPr>
        <w:t>预算金额：</w:t>
      </w:r>
      <w:r>
        <w:rPr>
          <w:rFonts w:hint="eastAsia" w:ascii="仿宋" w:hAnsi="仿宋" w:eastAsia="仿宋" w:cs="仿宋"/>
          <w:color w:val="000000"/>
          <w:kern w:val="0"/>
          <w:sz w:val="31"/>
          <w:szCs w:val="31"/>
          <w:lang w:val="en-US" w:eastAsia="zh-CN" w:bidi="ar"/>
        </w:rPr>
        <w:t>50</w:t>
      </w:r>
      <w:r>
        <w:rPr>
          <w:rFonts w:ascii="仿宋" w:hAnsi="仿宋" w:eastAsia="仿宋" w:cs="仿宋"/>
          <w:color w:val="000000"/>
          <w:kern w:val="0"/>
          <w:sz w:val="31"/>
          <w:szCs w:val="31"/>
          <w:lang w:bidi="ar"/>
        </w:rPr>
        <w:t>万</w:t>
      </w:r>
    </w:p>
    <w:p w14:paraId="1CBDBB36">
      <w:pPr>
        <w:numPr>
          <w:ilvl w:val="0"/>
          <w:numId w:val="1"/>
        </w:numPr>
        <w:spacing w:line="560" w:lineRule="exact"/>
        <w:rPr>
          <w:rFonts w:ascii="仿宋" w:hAnsi="仿宋" w:eastAsia="仿宋" w:cs="仿宋"/>
          <w:sz w:val="32"/>
          <w:szCs w:val="32"/>
        </w:rPr>
      </w:pPr>
      <w:r>
        <w:rPr>
          <w:rFonts w:hint="eastAsia" w:ascii="仿宋" w:hAnsi="仿宋" w:eastAsia="仿宋" w:cs="仿宋"/>
          <w:b/>
          <w:sz w:val="32"/>
          <w:szCs w:val="32"/>
        </w:rPr>
        <w:t>项目概况：</w:t>
      </w:r>
      <w:r>
        <w:rPr>
          <w:rFonts w:hint="eastAsia" w:ascii="仿宋" w:hAnsi="仿宋" w:eastAsia="仿宋" w:cs="仿宋"/>
          <w:sz w:val="32"/>
          <w:szCs w:val="32"/>
        </w:rPr>
        <w:t>本次采购的设备</w:t>
      </w:r>
      <w:r>
        <w:rPr>
          <w:rFonts w:hint="eastAsia" w:ascii="仿宋" w:hAnsi="仿宋" w:eastAsia="仿宋" w:cs="仿宋"/>
          <w:sz w:val="32"/>
          <w:szCs w:val="32"/>
          <w:lang w:eastAsia="zh-CN"/>
        </w:rPr>
        <w:t>（</w:t>
      </w:r>
      <w:r>
        <w:rPr>
          <w:rFonts w:hint="eastAsia" w:ascii="仿宋" w:hAnsi="仿宋" w:eastAsia="仿宋" w:cs="仿宋"/>
          <w:sz w:val="32"/>
          <w:szCs w:val="32"/>
        </w:rPr>
        <w:t>系统</w:t>
      </w:r>
      <w:r>
        <w:rPr>
          <w:rFonts w:hint="eastAsia" w:ascii="仿宋" w:hAnsi="仿宋" w:eastAsia="仿宋" w:cs="仿宋"/>
          <w:sz w:val="32"/>
          <w:szCs w:val="32"/>
          <w:lang w:eastAsia="zh-CN"/>
        </w:rPr>
        <w:t>）</w:t>
      </w:r>
      <w:r>
        <w:rPr>
          <w:rFonts w:hint="eastAsia" w:ascii="仿宋" w:hAnsi="仿宋" w:eastAsia="仿宋" w:cs="仿宋"/>
          <w:sz w:val="32"/>
          <w:szCs w:val="32"/>
        </w:rPr>
        <w:t>主要用于教学实验本科人才培养；标的设备需具备高精度、高可靠性及长期稳定运行的能力，能够无缝融入现有实验教学系统体系，满足课程实验设计、复杂工况模拟验证、多源传感</w:t>
      </w:r>
      <w:r>
        <w:rPr>
          <w:rFonts w:hint="eastAsia" w:ascii="仿宋" w:hAnsi="仿宋" w:eastAsia="仿宋" w:cs="仿宋"/>
          <w:sz w:val="32"/>
          <w:szCs w:val="32"/>
          <w:lang w:val="en-US" w:eastAsia="zh-CN"/>
        </w:rPr>
        <w:t>与</w:t>
      </w:r>
      <w:r>
        <w:rPr>
          <w:rFonts w:hint="eastAsia" w:ascii="仿宋" w:hAnsi="仿宋" w:eastAsia="仿宋" w:cs="仿宋"/>
          <w:sz w:val="32"/>
          <w:szCs w:val="32"/>
        </w:rPr>
        <w:t>控制</w:t>
      </w:r>
      <w:r>
        <w:rPr>
          <w:rFonts w:hint="eastAsia" w:ascii="仿宋" w:hAnsi="仿宋" w:eastAsia="仿宋" w:cs="仿宋"/>
          <w:sz w:val="32"/>
          <w:szCs w:val="32"/>
          <w:lang w:eastAsia="zh-CN"/>
        </w:rPr>
        <w:t>，</w:t>
      </w:r>
      <w:r>
        <w:rPr>
          <w:rFonts w:hint="eastAsia" w:ascii="仿宋" w:hAnsi="仿宋" w:eastAsia="仿宋" w:cs="仿宋"/>
          <w:sz w:val="32"/>
          <w:szCs w:val="32"/>
        </w:rPr>
        <w:t>数据同步采集与实时闭环控制等要求</w:t>
      </w:r>
      <w:r>
        <w:rPr>
          <w:rFonts w:hint="eastAsia" w:ascii="仿宋" w:hAnsi="仿宋" w:eastAsia="仿宋" w:cs="仿宋"/>
          <w:sz w:val="32"/>
          <w:szCs w:val="32"/>
          <w:lang w:eastAsia="zh-CN"/>
        </w:rPr>
        <w:t>。</w:t>
      </w:r>
    </w:p>
    <w:p w14:paraId="32BF2619">
      <w:pPr>
        <w:numPr>
          <w:ilvl w:val="0"/>
          <w:numId w:val="1"/>
        </w:numPr>
        <w:spacing w:line="560" w:lineRule="exact"/>
        <w:rPr>
          <w:rFonts w:ascii="仿宋" w:hAnsi="仿宋" w:eastAsia="仿宋" w:cs="仿宋"/>
          <w:b/>
          <w:bCs/>
          <w:sz w:val="32"/>
          <w:szCs w:val="32"/>
        </w:rPr>
      </w:pPr>
      <w:r>
        <w:rPr>
          <w:rFonts w:hint="eastAsia" w:ascii="仿宋" w:hAnsi="仿宋" w:eastAsia="仿宋" w:cs="仿宋"/>
          <w:b/>
          <w:bCs/>
          <w:sz w:val="32"/>
          <w:szCs w:val="32"/>
        </w:rPr>
        <w:t>资格要求：</w:t>
      </w:r>
    </w:p>
    <w:p w14:paraId="09D17BA4">
      <w:pPr>
        <w:autoSpaceDE w:val="0"/>
        <w:autoSpaceDN w:val="0"/>
        <w:adjustRightIn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1、符合《中华人民共和国政府采购法》第二十二条规定；</w:t>
      </w:r>
    </w:p>
    <w:p w14:paraId="2688FE54">
      <w:pPr>
        <w:autoSpaceDE w:val="0"/>
        <w:autoSpaceDN w:val="0"/>
        <w:adjustRightIn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2、供应商存在以下不良信用记录情形之一的，不得推荐为中标候选供应商，不得确定为中标人：</w:t>
      </w:r>
    </w:p>
    <w:p w14:paraId="3A28EE9C">
      <w:pPr>
        <w:autoSpaceDE w:val="0"/>
        <w:autoSpaceDN w:val="0"/>
        <w:adjustRightIn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 供应商被人民法院列入失信被执行人名单的；</w:t>
      </w:r>
    </w:p>
    <w:p w14:paraId="03E3B490">
      <w:pPr>
        <w:autoSpaceDE w:val="0"/>
        <w:autoSpaceDN w:val="0"/>
        <w:adjustRightIn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 供应商被市场监督管理部门列入企业经营异常名录的；</w:t>
      </w:r>
    </w:p>
    <w:p w14:paraId="67C88287">
      <w:pPr>
        <w:autoSpaceDE w:val="0"/>
        <w:autoSpaceDN w:val="0"/>
        <w:adjustRightIn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 供应商被税务部门列入重大税收违法失信主体名单的；</w:t>
      </w:r>
    </w:p>
    <w:p w14:paraId="190556DD">
      <w:pPr>
        <w:autoSpaceDE w:val="0"/>
        <w:autoSpaceDN w:val="0"/>
        <w:adjustRightIn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 供应商被政府采购监管部门列入政府采购严重违法失信行为记录名单的。注：根据采购需求特点提出的供应商资格条件，要与采购标的的功能、质量和供应商履约能力直接相关，且属于履行合同必需的条件，包括特定的专业资格或者技术资格、设备设施、业绩情况、专业人才及其管理能力等。</w:t>
      </w:r>
    </w:p>
    <w:p w14:paraId="5BA73417">
      <w:pPr>
        <w:numPr>
          <w:ilvl w:val="0"/>
          <w:numId w:val="1"/>
        </w:numPr>
        <w:spacing w:line="560" w:lineRule="exact"/>
        <w:rPr>
          <w:rFonts w:ascii="仿宋" w:hAnsi="仿宋" w:eastAsia="仿宋" w:cs="仿宋"/>
          <w:b/>
          <w:bCs/>
          <w:sz w:val="32"/>
          <w:szCs w:val="32"/>
        </w:rPr>
      </w:pPr>
      <w:bookmarkStart w:id="0" w:name="_GoBack"/>
      <w:bookmarkEnd w:id="0"/>
      <w:r>
        <w:rPr>
          <w:rFonts w:hint="eastAsia" w:ascii="仿宋" w:hAnsi="仿宋" w:eastAsia="仿宋" w:cs="仿宋"/>
          <w:b/>
          <w:bCs/>
          <w:sz w:val="32"/>
          <w:szCs w:val="32"/>
        </w:rPr>
        <w:t>付款方式：【供应商可以批注形式提出合理化建议】</w:t>
      </w:r>
    </w:p>
    <w:p w14:paraId="64FB6181">
      <w:pPr>
        <w:spacing w:line="560" w:lineRule="exact"/>
        <w:ind w:firstLine="420" w:firstLineChars="0"/>
        <w:rPr>
          <w:rFonts w:hint="eastAsia" w:ascii="仿宋" w:hAnsi="仿宋" w:eastAsia="仿宋" w:cs="仿宋"/>
          <w:sz w:val="32"/>
          <w:szCs w:val="32"/>
          <w:lang w:eastAsia="zh-CN"/>
        </w:rPr>
      </w:pPr>
      <w:r>
        <w:rPr>
          <w:rFonts w:hint="eastAsia" w:ascii="仿宋" w:hAnsi="仿宋" w:eastAsia="仿宋" w:cs="仿宋"/>
          <w:sz w:val="32"/>
          <w:szCs w:val="32"/>
        </w:rPr>
        <w:t>合同签订后需按照合同规定时间供货</w:t>
      </w:r>
      <w:r>
        <w:rPr>
          <w:rFonts w:hint="eastAsia" w:ascii="仿宋" w:hAnsi="仿宋" w:eastAsia="仿宋" w:cs="仿宋"/>
          <w:sz w:val="32"/>
          <w:szCs w:val="32"/>
          <w:lang w:val="en-US" w:eastAsia="zh-CN"/>
        </w:rPr>
        <w:t>及培训</w:t>
      </w:r>
      <w:r>
        <w:rPr>
          <w:rFonts w:hint="eastAsia" w:ascii="仿宋" w:hAnsi="仿宋" w:eastAsia="仿宋" w:cs="仿宋"/>
          <w:sz w:val="32"/>
          <w:szCs w:val="32"/>
        </w:rPr>
        <w:t>，待项目验收合格后一次性付款</w:t>
      </w:r>
      <w:r>
        <w:rPr>
          <w:rFonts w:hint="eastAsia" w:ascii="仿宋" w:hAnsi="仿宋" w:eastAsia="仿宋" w:cs="仿宋"/>
          <w:sz w:val="32"/>
          <w:szCs w:val="32"/>
          <w:lang w:eastAsia="zh-CN"/>
        </w:rPr>
        <w:t>。</w:t>
      </w:r>
    </w:p>
    <w:p w14:paraId="538365CB">
      <w:pPr>
        <w:spacing w:line="560" w:lineRule="exact"/>
        <w:rPr>
          <w:rFonts w:hint="eastAsia" w:ascii="仿宋" w:hAnsi="仿宋" w:eastAsia="仿宋" w:cs="仿宋"/>
          <w:b/>
          <w:bCs/>
          <w:sz w:val="32"/>
          <w:szCs w:val="32"/>
          <w:lang w:val="en-US" w:eastAsia="zh-CN"/>
        </w:rPr>
      </w:pPr>
      <w:r>
        <w:rPr>
          <w:rFonts w:hint="eastAsia" w:ascii="仿宋" w:hAnsi="仿宋" w:eastAsia="仿宋" w:cs="仿宋"/>
          <w:b/>
          <w:sz w:val="32"/>
          <w:szCs w:val="32"/>
        </w:rPr>
        <w:t>六</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主要技术要求</w:t>
      </w:r>
    </w:p>
    <w:p w14:paraId="14ECED3B">
      <w:pPr>
        <w:spacing w:line="560" w:lineRule="exact"/>
        <w:ind w:firstLine="640" w:firstLineChars="200"/>
        <w:rPr>
          <w:rFonts w:hint="default" w:ascii="方正仿宋_GB2312" w:hAnsi="方正仿宋_GB2312" w:eastAsia="方正仿宋_GB2312" w:cs="方正仿宋_GB2312"/>
          <w:bCs/>
          <w:sz w:val="32"/>
          <w:szCs w:val="32"/>
          <w:lang w:val="en-US" w:eastAsia="zh-CN"/>
        </w:rPr>
      </w:pPr>
      <w:r>
        <w:rPr>
          <w:rFonts w:hint="eastAsia" w:ascii="方正仿宋_GB2312" w:hAnsi="方正仿宋_GB2312" w:eastAsia="方正仿宋_GB2312" w:cs="方正仿宋_GB2312"/>
          <w:bCs/>
          <w:sz w:val="32"/>
          <w:szCs w:val="32"/>
          <w:lang w:val="en-US" w:eastAsia="zh-CN"/>
        </w:rPr>
        <w:t>本项目内含半实物仿真平台与多智能体协同控制机器人平台各1套。具体参数/要求如下：</w:t>
      </w:r>
    </w:p>
    <w:p w14:paraId="6E4CC3CD">
      <w:pPr>
        <w:spacing w:line="560" w:lineRule="exact"/>
        <w:ind w:firstLine="643" w:firstLineChars="200"/>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1、半实物仿真平台</w:t>
      </w:r>
    </w:p>
    <w:p w14:paraId="300066A5">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lang w:val="en-US" w:eastAsia="zh-CN"/>
        </w:rPr>
        <w:t>1.1</w:t>
      </w:r>
      <w:r>
        <w:rPr>
          <w:rFonts w:hint="eastAsia" w:ascii="方正仿宋_GB2312" w:hAnsi="方正仿宋_GB2312" w:eastAsia="方正仿宋_GB2312" w:cs="方正仿宋_GB2312"/>
          <w:b/>
          <w:bCs w:val="0"/>
          <w:sz w:val="32"/>
          <w:szCs w:val="32"/>
        </w:rPr>
        <w:t>、技术要求</w:t>
      </w:r>
    </w:p>
    <w:p w14:paraId="16FB9A59">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rPr>
        <w:t>（一）实时仿真器仿真机技术参数要求</w:t>
      </w:r>
    </w:p>
    <w:p w14:paraId="4A18CDA5">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硬件指标：</w:t>
      </w:r>
    </w:p>
    <w:p w14:paraId="5A480FAE">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rPr>
        <w:t>1）计算单元应包含FPGA和Arm处理核，其中FPGA处理核≥3个，Arm处理核≥6个。</w:t>
      </w:r>
    </w:p>
    <w:p w14:paraId="54AD2C37">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2）仿真步长≥250ns。</w:t>
      </w:r>
    </w:p>
    <w:p w14:paraId="41A2D038">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rPr>
        <w:t>3）IO接口：</w:t>
      </w:r>
    </w:p>
    <w:p w14:paraId="48757677">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模拟量输出通道≥16路，采样精度≥16位，支持电压范围兼容±10V，同步采样速率≥1.0MSPS；</w:t>
      </w:r>
    </w:p>
    <w:p w14:paraId="2E20EDDF">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数字量输入通道不低于32路，PWM输入采样率≥4.5ns，支持输入电压范围兼容±15V。</w:t>
      </w:r>
    </w:p>
    <w:p w14:paraId="2458AE58">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4）硬件接口至少包含1个USB3.0接口、2个Ethernet接口（10/100/1000Mbps，RJ45接口）、1个CAN接口(DB9公接头)、1个RS232接口(DB9母接头)、2个SFP接口（通讯速率≥5GHz，支持Aurora通讯）、1个GPIO接口（12通道多用途I/O）、1个JTAG接口。</w:t>
      </w:r>
    </w:p>
    <w:p w14:paraId="29D699B2">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5）设备扩展台数≥4台，同步速率主频≥5GHz，单个微秒内同步传输数据量不低于100个双精度变量。</w:t>
      </w:r>
    </w:p>
    <w:p w14:paraId="002C449B">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软件指标（软件功能）：</w:t>
      </w:r>
    </w:p>
    <w:p w14:paraId="3EB9B179">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仿真资源：</w:t>
      </w:r>
    </w:p>
    <w:p w14:paraId="78BFD802">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rPr>
        <w:t>1）支持最低4.5ns实时仿真步长（通常基准步长为250 ns）。</w:t>
      </w:r>
    </w:p>
    <w:p w14:paraId="165CB655">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2）支持至少6个单相或2个三相变流器详细值模型。</w:t>
      </w:r>
    </w:p>
    <w:p w14:paraId="2C94990B">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3）支持至少1个电机FPGA模型。</w:t>
      </w:r>
    </w:p>
    <w:p w14:paraId="223411E4">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4）实时仿真软件具备至少支持4种资源配置方式以适应不同的仿真场景。</w:t>
      </w:r>
    </w:p>
    <w:p w14:paraId="1014E30E">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仿真功能：</w:t>
      </w:r>
    </w:p>
    <w:p w14:paraId="7DF78757">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rPr>
        <w:t>1)仿真软件的license永久授权，且安装的上位机数量不受限制（使用人数不受限制）。</w:t>
      </w:r>
    </w:p>
    <w:p w14:paraId="3AFBFE88">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rPr>
        <w:t>2)仿真软件具有独立的仿真建模软件（不依赖于第三方软件），包括原理图编辑器软件、人机交互软件、自动化测试软件。</w:t>
      </w:r>
    </w:p>
    <w:p w14:paraId="7F0AE960">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3)原理图编辑器软件：</w:t>
      </w:r>
    </w:p>
    <w:p w14:paraId="1E2BA3A7">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原理图编辑器软件中控制部分至少支持三种建模方式：元件模型库中的模型建模、C代码导入、Matlab/Simulink控制算法导入；</w:t>
      </w:r>
    </w:p>
    <w:p w14:paraId="45BCE9EC">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原理图编辑器软件的元件模型库中至少包含以下模型库：断路器模型库、接触器模型库、变流器模型库、电机模型库、测量仪表库、无源组件库、信号处理组件库、电源库、变压器库、传输线库。</w:t>
      </w:r>
    </w:p>
    <w:p w14:paraId="531EAF18">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4)人机交互软件：</w:t>
      </w:r>
    </w:p>
    <w:p w14:paraId="6F6E3E81">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人机交互软件支持自定义UI界面；</w:t>
      </w:r>
    </w:p>
    <w:p w14:paraId="05B57B70">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人机交互软件支持图形化python编程，支持调用API执行事件，支持使用全局变量和特定于宏的变量；</w:t>
      </w:r>
    </w:p>
    <w:p w14:paraId="4FF80F14">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人机交互软件支持实时监控信号、实时修改模型参数、在线模拟IGBT故障功能；人机交互软件的控件库中至少包含动作控件，监控控件，可视化控件等。</w:t>
      </w:r>
    </w:p>
    <w:p w14:paraId="3EBCC99A">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5)自动化测试软件：</w:t>
      </w:r>
    </w:p>
    <w:p w14:paraId="4394A839">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自动化测试软件与pytest集成，运行Python测试程序；</w:t>
      </w:r>
    </w:p>
    <w:p w14:paraId="089D2287">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自动化测试软件包含丰富的API函数集，支持通过相关API进行编程控制（支持图形化交互式python编程）；</w:t>
      </w:r>
    </w:p>
    <w:p w14:paraId="10A2DA32">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自动化测试软件支持提供Allure框架的测试报告（结构化、可交互的HTML报告）；</w:t>
      </w:r>
    </w:p>
    <w:p w14:paraId="3FA39A0C">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rPr>
        <w:t>6)仿真软件包含5种实用工具软件：波形生成工具、信号波形分析处理工具、测试和校准工具、查找表提取工具、模型包管理器工具。</w:t>
      </w:r>
    </w:p>
    <w:p w14:paraId="28DDCA7A">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rPr>
        <w:t>（二）快速原型控制器技术参数要求</w:t>
      </w:r>
    </w:p>
    <w:p w14:paraId="7DBC60C0">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lang w:val="en-US" w:eastAsia="zh-CN"/>
        </w:rPr>
        <w:t>1）</w:t>
      </w:r>
      <w:r>
        <w:rPr>
          <w:rFonts w:hint="eastAsia" w:ascii="方正仿宋_GB2312" w:hAnsi="方正仿宋_GB2312" w:eastAsia="方正仿宋_GB2312" w:cs="方正仿宋_GB2312"/>
          <w:bCs/>
          <w:sz w:val="32"/>
          <w:szCs w:val="32"/>
        </w:rPr>
        <w:t>控制器需采用了DSP+ARM+FPGA形成的多核异构的架构，DSP为主控制器，ARM和FPGA为辅控制器，DSP采用32位高性能浮点型实时数字信号处理器，运行主频为300MHz，使用软件浮点加速库大大缩减算法执行时间。</w:t>
      </w:r>
    </w:p>
    <w:p w14:paraId="239304CF">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2）</w:t>
      </w:r>
      <w:r>
        <w:rPr>
          <w:rFonts w:hint="eastAsia" w:ascii="方正仿宋_GB2312" w:hAnsi="方正仿宋_GB2312" w:eastAsia="方正仿宋_GB2312" w:cs="方正仿宋_GB2312"/>
          <w:bCs/>
          <w:sz w:val="32"/>
          <w:szCs w:val="32"/>
        </w:rPr>
        <w:t>支持Simulink模型设计，具有代码自动生成功能，生成的源代码可以查看与编辑。</w:t>
      </w:r>
    </w:p>
    <w:p w14:paraId="3E83E926">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3）</w:t>
      </w:r>
      <w:r>
        <w:rPr>
          <w:rFonts w:hint="eastAsia" w:ascii="方正仿宋_GB2312" w:hAnsi="方正仿宋_GB2312" w:eastAsia="方正仿宋_GB2312" w:cs="方正仿宋_GB2312"/>
          <w:bCs/>
          <w:sz w:val="32"/>
          <w:szCs w:val="32"/>
        </w:rPr>
        <w:t>输入电压为220VAC，可外供5V5A、±15V 2A、24V 1A，其中5V、+15V、-15V共地。</w:t>
      </w:r>
    </w:p>
    <w:p w14:paraId="35A66773">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4）</w:t>
      </w:r>
      <w:r>
        <w:rPr>
          <w:rFonts w:hint="eastAsia" w:ascii="方正仿宋_GB2312" w:hAnsi="方正仿宋_GB2312" w:eastAsia="方正仿宋_GB2312" w:cs="方正仿宋_GB2312"/>
          <w:bCs/>
          <w:sz w:val="32"/>
          <w:szCs w:val="32"/>
        </w:rPr>
        <w:t>PWM≥36路，其中12路为光纤信号形式输出，频率设置范围100Hz~100kHz；24路为电信号输出，5V电平，频率设置范围为500Hz~500kHz。</w:t>
      </w:r>
    </w:p>
    <w:p w14:paraId="35256EAF">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5）</w:t>
      </w:r>
      <w:r>
        <w:rPr>
          <w:rFonts w:hint="eastAsia" w:ascii="方正仿宋_GB2312" w:hAnsi="方正仿宋_GB2312" w:eastAsia="方正仿宋_GB2312" w:cs="方正仿宋_GB2312"/>
          <w:bCs/>
          <w:sz w:val="32"/>
          <w:szCs w:val="32"/>
        </w:rPr>
        <w:t>ADC≥24路，16位精度，采样范围-10V~10V，采样率不低于200KSPS。</w:t>
      </w:r>
    </w:p>
    <w:p w14:paraId="34AC16B9">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6）</w:t>
      </w:r>
      <w:r>
        <w:rPr>
          <w:rFonts w:hint="eastAsia" w:ascii="方正仿宋_GB2312" w:hAnsi="方正仿宋_GB2312" w:eastAsia="方正仿宋_GB2312" w:cs="方正仿宋_GB2312"/>
          <w:bCs/>
          <w:sz w:val="32"/>
          <w:szCs w:val="32"/>
        </w:rPr>
        <w:t>DAC≥4路，12位精度，建立时间≥8us，输出范围≥-10V~10V。</w:t>
      </w:r>
    </w:p>
    <w:p w14:paraId="56732F71">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7）</w:t>
      </w:r>
      <w:r>
        <w:rPr>
          <w:rFonts w:hint="eastAsia" w:ascii="方正仿宋_GB2312" w:hAnsi="方正仿宋_GB2312" w:eastAsia="方正仿宋_GB2312" w:cs="方正仿宋_GB2312"/>
          <w:bCs/>
          <w:sz w:val="32"/>
          <w:szCs w:val="32"/>
        </w:rPr>
        <w:t>数字量输入通道DO≥24路，5V电平输输出，数字量输入通道DI≥18路，其中12路5V电平输入，6路光纤输入。</w:t>
      </w:r>
    </w:p>
    <w:p w14:paraId="7997A35E">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8</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遥控≥5路，继电器干节点（无源节点）输出。</w:t>
      </w:r>
    </w:p>
    <w:p w14:paraId="0D4F2DC2">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9</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遥信≥5路，24V开关量信号（有源节点）输入。</w:t>
      </w:r>
    </w:p>
    <w:p w14:paraId="22D90BC7">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10</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2个隔离型RS485接口，1个隔离型CAN2.0B接口，一个10M/100M以太网口，支持Modbus RTU和Modbus TCP通信协议。</w:t>
      </w:r>
    </w:p>
    <w:p w14:paraId="16136F76">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11</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具有代码运行时间测量功能。</w:t>
      </w:r>
    </w:p>
    <w:p w14:paraId="5133B679">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12</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具有代码运行超负荷重启提醒功能。</w:t>
      </w:r>
    </w:p>
    <w:p w14:paraId="0A105350">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13</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具有通过以太网与Simulink实时通信功能，可将数据发送回Simulink，在Simulink中参与在线实时仿真。</w:t>
      </w:r>
    </w:p>
    <w:p w14:paraId="515276FD">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14</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软件部分由上位机软件，Simulink专用模块库、底层驱动软件组成，软件均可免费升级。</w:t>
      </w:r>
    </w:p>
    <w:p w14:paraId="752DC143">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rPr>
        <w:t>15</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模块库应具备应具备基于dq同步旋转坐标变换的三相锁相环SRF-PLL模块、基于二阶广义积分器的单相并网系统锁相SPLL-SOGI模块、DAB控制模型算法兼容单移相控制（SPS）、扩展移相控制（ESPS）、双重移相扩展控制算法（DPS）等。</w:t>
      </w:r>
    </w:p>
    <w:p w14:paraId="2D276CA4">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16</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上位机软件用于工程管理、代码编辑、工程编译、下载、调试、在线调参、实时波形、手动录波、自动触发录波、自定义用户画面等功能，所有数据均可导出保存。</w:t>
      </w:r>
    </w:p>
    <w:p w14:paraId="575891E2">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17</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支持分布式控制，一个工程下可同时调试≥5台控制器。</w:t>
      </w:r>
    </w:p>
    <w:p w14:paraId="08EB4479">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18</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支持≥256个变量在线实时观测与调试。</w:t>
      </w:r>
    </w:p>
    <w:p w14:paraId="7FC9CF05">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19</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支持≥8条波形在线实时显示，传输速率为2K点/秒，数据可保存并导出。</w:t>
      </w:r>
    </w:p>
    <w:p w14:paraId="33DEEA8D">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20</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支持≥8条波形录波功能，可选择手动录波或者自动触发录波等功能，每条记录数据量为8万点，数据可保存并导出。</w:t>
      </w:r>
    </w:p>
    <w:p w14:paraId="63641F01">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21</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具有用户画面自定义功能，支持文本、按钮、时间、图片、标签、波形、趋势、线段等图元控件，通过简单拖曳方式可将程序里任意变量或者波形与图元控件相关联。支持多画面切换、GIF动画、启动外部程序等功能。</w:t>
      </w:r>
    </w:p>
    <w:p w14:paraId="0969CDD3">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22</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需配备专属AI智能助手，支持文本输入与多轮对话，支持上下文连续提问，保留最近会话历史，可提供产品的使用指导、操作培训、常见问题等解答。问答模式支持纯文本回答、视频片段、带图片参考等。平均响应时间≤5秒，在预置知识库范围内，回答准确率≥90%。二、其他要求（如有）</w:t>
      </w:r>
    </w:p>
    <w:p w14:paraId="341C41CD">
      <w:pPr>
        <w:spacing w:line="560" w:lineRule="exact"/>
        <w:ind w:left="0" w:leftChars="0" w:firstLine="640" w:firstLineChars="0"/>
        <w:rPr>
          <w:rFonts w:hint="default"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1.2其他要求</w:t>
      </w:r>
    </w:p>
    <w:p w14:paraId="4203189D">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1、提供免费技术咨询1年</w:t>
      </w:r>
    </w:p>
    <w:p w14:paraId="51F6EEAF">
      <w:pPr>
        <w:spacing w:line="560" w:lineRule="exact"/>
        <w:ind w:firstLine="640" w:firstLineChars="200"/>
        <w:rPr>
          <w:rFonts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2、提供关于设备使用、日常维护等内容的培训，≥2名教师</w:t>
      </w:r>
    </w:p>
    <w:p w14:paraId="0F9FAEB2">
      <w:pPr>
        <w:spacing w:line="560" w:lineRule="exact"/>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2、多智能体协同控制机器人平台</w:t>
      </w:r>
    </w:p>
    <w:p w14:paraId="35476CC5">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lang w:val="en-US" w:eastAsia="zh-CN"/>
        </w:rPr>
        <w:t>2.1</w:t>
      </w:r>
      <w:r>
        <w:rPr>
          <w:rFonts w:hint="eastAsia" w:ascii="方正仿宋_GB2312" w:hAnsi="方正仿宋_GB2312" w:eastAsia="方正仿宋_GB2312" w:cs="方正仿宋_GB2312"/>
          <w:b/>
          <w:bCs w:val="0"/>
          <w:sz w:val="32"/>
          <w:szCs w:val="32"/>
        </w:rPr>
        <w:t>、技术要求</w:t>
      </w:r>
    </w:p>
    <w:p w14:paraId="40946C39">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rPr>
        <w:t>（一）多智能体协同控制机器人1套</w:t>
      </w:r>
    </w:p>
    <w:p w14:paraId="0481A070">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lang w:val="en-US" w:eastAsia="zh-CN"/>
        </w:rPr>
        <w:t>1）</w:t>
      </w:r>
      <w:r>
        <w:rPr>
          <w:rFonts w:hint="eastAsia" w:ascii="方正仿宋_GB2312" w:hAnsi="方正仿宋_GB2312" w:eastAsia="方正仿宋_GB2312" w:cs="方正仿宋_GB2312"/>
          <w:bCs/>
          <w:sz w:val="32"/>
          <w:szCs w:val="32"/>
        </w:rPr>
        <w:t>.整套多智能体协同控制机器人包含子智能体数量4套，协同控制服务器中心1套及三维打印设备3台；</w:t>
      </w:r>
    </w:p>
    <w:p w14:paraId="0B37CB61">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lang w:val="en-US" w:eastAsia="zh-CN"/>
        </w:rPr>
        <w:t>2）</w:t>
      </w:r>
      <w:r>
        <w:rPr>
          <w:rFonts w:hint="eastAsia" w:ascii="方正仿宋_GB2312" w:hAnsi="方正仿宋_GB2312" w:eastAsia="方正仿宋_GB2312" w:cs="方正仿宋_GB2312"/>
          <w:bCs/>
          <w:sz w:val="32"/>
          <w:szCs w:val="32"/>
        </w:rPr>
        <w:t>子智能体组成：4驱动底盘，可二次开发，底盘包含36v锂电池、激光雷达、深度相机、带gpu加速的边缘计算模块；</w:t>
      </w:r>
    </w:p>
    <w:p w14:paraId="69135CDA">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3</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子智能体底盘尺寸：≤500</w:t>
      </w:r>
      <w:r>
        <w:rPr>
          <w:rFonts w:hint="eastAsia" w:ascii="宋体" w:hAnsi="宋体" w:eastAsia="宋体" w:cs="宋体"/>
          <w:szCs w:val="21"/>
        </w:rPr>
        <w:t>×</w:t>
      </w:r>
      <w:r>
        <w:rPr>
          <w:rFonts w:hint="eastAsia" w:ascii="方正仿宋_GB2312" w:hAnsi="方正仿宋_GB2312" w:eastAsia="方正仿宋_GB2312" w:cs="方正仿宋_GB2312"/>
          <w:bCs/>
          <w:sz w:val="32"/>
          <w:szCs w:val="32"/>
        </w:rPr>
        <w:t>550</w:t>
      </w:r>
      <w:r>
        <w:rPr>
          <w:rFonts w:hint="eastAsia" w:ascii="宋体" w:hAnsi="宋体" w:eastAsia="宋体" w:cs="宋体"/>
          <w:szCs w:val="21"/>
        </w:rPr>
        <w:t>×</w:t>
      </w:r>
      <w:r>
        <w:rPr>
          <w:rFonts w:hint="eastAsia" w:ascii="方正仿宋_GB2312" w:hAnsi="方正仿宋_GB2312" w:eastAsia="方正仿宋_GB2312" w:cs="方正仿宋_GB2312"/>
          <w:bCs/>
          <w:sz w:val="32"/>
          <w:szCs w:val="32"/>
        </w:rPr>
        <w:t>750 mm</w:t>
      </w:r>
    </w:p>
    <w:p w14:paraId="74473A72">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lang w:val="en-US" w:eastAsia="zh-CN"/>
        </w:rPr>
        <w:t>4）</w:t>
      </w:r>
      <w:r>
        <w:rPr>
          <w:rFonts w:hint="eastAsia" w:ascii="方正仿宋_GB2312" w:hAnsi="方正仿宋_GB2312" w:eastAsia="方正仿宋_GB2312" w:cs="方正仿宋_GB2312"/>
          <w:bCs/>
          <w:sz w:val="32"/>
          <w:szCs w:val="32"/>
        </w:rPr>
        <w:t>子智能体底盘：具备4驱能力，载重≥18公斤，开箱即用，具备手柄控制、APP控制和PC控制，自带激光雷达及其主控，能够运行ROS系统，具备SLAM建图和视觉识别功能，底盘主控具备边缘计算能力，显存不低于8G，存储不低于256G，可运行opencv，open3d等开源库；</w:t>
      </w:r>
    </w:p>
    <w:p w14:paraId="700DD7CC">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5）</w:t>
      </w:r>
      <w:r>
        <w:rPr>
          <w:rFonts w:hint="eastAsia" w:ascii="方正仿宋_GB2312" w:hAnsi="方正仿宋_GB2312" w:eastAsia="方正仿宋_GB2312" w:cs="方正仿宋_GB2312"/>
          <w:bCs/>
          <w:sz w:val="32"/>
          <w:szCs w:val="32"/>
        </w:rPr>
        <w:t>底盘电池容量≥36V/5000 mAh</w:t>
      </w:r>
    </w:p>
    <w:p w14:paraId="5EBCE463">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6）</w:t>
      </w:r>
      <w:r>
        <w:rPr>
          <w:rFonts w:hint="eastAsia" w:ascii="方正仿宋_GB2312" w:hAnsi="方正仿宋_GB2312" w:eastAsia="方正仿宋_GB2312" w:cs="方正仿宋_GB2312"/>
          <w:bCs/>
          <w:sz w:val="32"/>
          <w:szCs w:val="32"/>
        </w:rPr>
        <w:t>底盘电池充电器套装4个</w:t>
      </w:r>
    </w:p>
    <w:p w14:paraId="693718FF">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7）</w:t>
      </w:r>
      <w:r>
        <w:rPr>
          <w:rFonts w:hint="eastAsia" w:ascii="方正仿宋_GB2312" w:hAnsi="方正仿宋_GB2312" w:eastAsia="方正仿宋_GB2312" w:cs="方正仿宋_GB2312"/>
          <w:bCs/>
          <w:sz w:val="32"/>
          <w:szCs w:val="32"/>
        </w:rPr>
        <w:t>底盘对外多种供电能力：12V/8A+5V/5A</w:t>
      </w:r>
    </w:p>
    <w:p w14:paraId="4DE7A4D2">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8）</w:t>
      </w:r>
      <w:r>
        <w:rPr>
          <w:rFonts w:hint="eastAsia" w:ascii="方正仿宋_GB2312" w:hAnsi="方正仿宋_GB2312" w:eastAsia="方正仿宋_GB2312" w:cs="方正仿宋_GB2312"/>
          <w:bCs/>
          <w:sz w:val="32"/>
          <w:szCs w:val="32"/>
        </w:rPr>
        <w:t>6轴协作机械臂负载≥1.5kg，工作半径≥600 mm，重复定位精度≤±0.5mm，控制端开放TCP/IP或CAN接口及C++/Python的底层API，支持与自研上位机实现≤10ms通信周期的低延迟闭环交互；</w:t>
      </w:r>
    </w:p>
    <w:p w14:paraId="0AEB194E">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lang w:val="en-US" w:eastAsia="zh-CN"/>
        </w:rPr>
        <w:t>9）</w:t>
      </w:r>
      <w:r>
        <w:rPr>
          <w:rFonts w:hint="eastAsia" w:ascii="方正仿宋_GB2312" w:hAnsi="方正仿宋_GB2312" w:eastAsia="方正仿宋_GB2312" w:cs="方正仿宋_GB2312"/>
          <w:bCs/>
          <w:sz w:val="32"/>
          <w:szCs w:val="32"/>
        </w:rPr>
        <w:t>6轴机械臂，包括机械臂本体、深度相机、usb转can通讯模块、末端夹爪；</w:t>
      </w:r>
    </w:p>
    <w:p w14:paraId="7528DBDC">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10）</w:t>
      </w:r>
      <w:r>
        <w:rPr>
          <w:rFonts w:hint="eastAsia" w:ascii="方正仿宋_GB2312" w:hAnsi="方正仿宋_GB2312" w:eastAsia="方正仿宋_GB2312" w:cs="方正仿宋_GB2312"/>
          <w:bCs/>
          <w:sz w:val="32"/>
          <w:szCs w:val="32"/>
        </w:rPr>
        <w:t>深度相机：图像与深度信息采集，深度分辨率支持1280×720、帧率≥15fps，点云精度≤3% @2m，支持微小目标分割与位姿估计，支持python sdk开发；</w:t>
      </w:r>
    </w:p>
    <w:p w14:paraId="58B3F16A">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rPr>
        <w:t>（</w:t>
      </w:r>
      <w:r>
        <w:rPr>
          <w:rFonts w:hint="eastAsia" w:ascii="方正仿宋_GB2312" w:hAnsi="方正仿宋_GB2312" w:eastAsia="方正仿宋_GB2312" w:cs="方正仿宋_GB2312"/>
          <w:b/>
          <w:bCs w:val="0"/>
          <w:sz w:val="32"/>
          <w:szCs w:val="32"/>
          <w:lang w:val="en-US" w:eastAsia="zh-CN"/>
        </w:rPr>
        <w:t>二</w:t>
      </w:r>
      <w:r>
        <w:rPr>
          <w:rFonts w:hint="eastAsia" w:ascii="方正仿宋_GB2312" w:hAnsi="方正仿宋_GB2312" w:eastAsia="方正仿宋_GB2312" w:cs="方正仿宋_GB2312"/>
          <w:b/>
          <w:bCs w:val="0"/>
          <w:sz w:val="32"/>
          <w:szCs w:val="32"/>
        </w:rPr>
        <w:t>）协同控制服务器中心1套</w:t>
      </w:r>
    </w:p>
    <w:p w14:paraId="4D0040C0">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1）</w:t>
      </w:r>
      <w:r>
        <w:rPr>
          <w:rFonts w:hint="eastAsia" w:ascii="方正仿宋_GB2312" w:hAnsi="方正仿宋_GB2312" w:eastAsia="方正仿宋_GB2312" w:cs="方正仿宋_GB2312"/>
          <w:bCs/>
          <w:sz w:val="32"/>
          <w:szCs w:val="32"/>
        </w:rPr>
        <w:t>协同控制服务器中心支持至少一种深度学习加速库，且支持open3d点云处理库的加速，支持图片类的数据集深度模型训练，显存不低于24G，可稳定运行YOLO系列等深度学习模型，视觉检测不低于30帧（640x640），支持64位ubuntu22.04及以上系统，搭建基本深度学习与点云处理运行环境，存储容量不低于4T；</w:t>
      </w:r>
    </w:p>
    <w:p w14:paraId="5F138E45">
      <w:pPr>
        <w:spacing w:line="560" w:lineRule="exact"/>
        <w:ind w:firstLine="640" w:firstLineChars="200"/>
        <w:rPr>
          <w:rFonts w:hint="eastAsia" w:ascii="方正仿宋_GB2312" w:hAnsi="方正仿宋_GB2312" w:eastAsia="方正仿宋_GB2312" w:cs="方正仿宋_GB2312"/>
          <w:bCs/>
          <w:sz w:val="32"/>
          <w:szCs w:val="32"/>
          <w:lang w:eastAsia="zh-CN"/>
        </w:rPr>
      </w:pPr>
      <w:r>
        <w:rPr>
          <w:rFonts w:hint="eastAsia" w:ascii="方正仿宋_GB2312" w:hAnsi="方正仿宋_GB2312" w:eastAsia="方正仿宋_GB2312" w:cs="方正仿宋_GB2312"/>
          <w:bCs/>
          <w:sz w:val="32"/>
          <w:szCs w:val="32"/>
          <w:lang w:val="en-US" w:eastAsia="zh-CN"/>
        </w:rPr>
        <w:t>2）</w:t>
      </w:r>
      <w:r>
        <w:rPr>
          <w:rFonts w:hint="eastAsia" w:ascii="方正仿宋_GB2312" w:hAnsi="方正仿宋_GB2312" w:eastAsia="方正仿宋_GB2312" w:cs="方正仿宋_GB2312"/>
          <w:bCs/>
          <w:sz w:val="32"/>
          <w:szCs w:val="32"/>
        </w:rPr>
        <w:t>协同控制服务器中心具备不少于3种机械臂末端抓手三维</w:t>
      </w:r>
      <w:r>
        <w:rPr>
          <w:rFonts w:hint="eastAsia" w:ascii="方正仿宋_GB2312" w:hAnsi="方正仿宋_GB2312" w:eastAsia="方正仿宋_GB2312" w:cs="方正仿宋_GB2312"/>
          <w:bCs/>
          <w:sz w:val="32"/>
          <w:szCs w:val="32"/>
          <w:lang w:val="en-US" w:eastAsia="zh-CN"/>
        </w:rPr>
        <w:t>模型</w:t>
      </w:r>
      <w:r>
        <w:rPr>
          <w:rFonts w:hint="eastAsia" w:ascii="方正仿宋_GB2312" w:hAnsi="方正仿宋_GB2312" w:eastAsia="方正仿宋_GB2312" w:cs="方正仿宋_GB2312"/>
          <w:bCs/>
          <w:sz w:val="32"/>
          <w:szCs w:val="32"/>
        </w:rPr>
        <w:t>，配套3台三维打印设备，</w:t>
      </w:r>
      <w:r>
        <w:rPr>
          <w:rFonts w:hint="eastAsia" w:ascii="方正仿宋_GB2312" w:hAnsi="方正仿宋_GB2312" w:eastAsia="方正仿宋_GB2312" w:cs="方正仿宋_GB2312"/>
          <w:bCs/>
          <w:sz w:val="32"/>
          <w:szCs w:val="32"/>
          <w:lang w:val="en-US" w:eastAsia="zh-CN"/>
        </w:rPr>
        <w:t>满足实验教学中</w:t>
      </w:r>
      <w:r>
        <w:rPr>
          <w:rFonts w:hint="eastAsia" w:ascii="方正仿宋_GB2312" w:hAnsi="方正仿宋_GB2312" w:eastAsia="方正仿宋_GB2312" w:cs="方正仿宋_GB2312"/>
          <w:bCs/>
          <w:sz w:val="32"/>
          <w:szCs w:val="32"/>
        </w:rPr>
        <w:t>根据末端抓手结构改进迅速完成执行末端的结构和功能改进</w:t>
      </w:r>
      <w:r>
        <w:rPr>
          <w:rFonts w:hint="eastAsia" w:ascii="方正仿宋_GB2312" w:hAnsi="方正仿宋_GB2312" w:eastAsia="方正仿宋_GB2312" w:cs="方正仿宋_GB2312"/>
          <w:bCs/>
          <w:sz w:val="32"/>
          <w:szCs w:val="32"/>
          <w:lang w:eastAsia="zh-CN"/>
        </w:rPr>
        <w:t>。</w:t>
      </w:r>
      <w:r>
        <w:rPr>
          <w:rFonts w:hint="eastAsia" w:ascii="方正仿宋_GB2312" w:hAnsi="方正仿宋_GB2312" w:eastAsia="方正仿宋_GB2312" w:cs="方正仿宋_GB2312"/>
          <w:bCs/>
          <w:sz w:val="32"/>
          <w:szCs w:val="32"/>
        </w:rPr>
        <w:t>要求三维打印设备，支持PLA、PETG、ABS、ASA、TPU、PET、PA、PC；碳纤/玻纤增强PLA、PETG、ABS、ASA、PA6、PAHT、PPA、PET等以及不少于3色的多色打印能力；最高可控腔温65℃，工具头最大移动速度950 mm/s；高精度永磁同步伺服电机（PMSM），20 kHz频率采样电机电流与位置，实时调整电磁扭矩；运动架构为封闭式Core-XY结构；三维打印设备数量3组</w:t>
      </w:r>
      <w:r>
        <w:rPr>
          <w:rFonts w:hint="eastAsia" w:ascii="方正仿宋_GB2312" w:hAnsi="方正仿宋_GB2312" w:eastAsia="方正仿宋_GB2312" w:cs="方正仿宋_GB2312"/>
          <w:bCs/>
          <w:sz w:val="32"/>
          <w:szCs w:val="32"/>
          <w:lang w:eastAsia="zh-CN"/>
        </w:rPr>
        <w:t>。</w:t>
      </w:r>
    </w:p>
    <w:p w14:paraId="00673AB4">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lang w:eastAsia="zh-CN"/>
        </w:rPr>
        <w:t>（</w:t>
      </w:r>
      <w:r>
        <w:rPr>
          <w:rFonts w:hint="eastAsia" w:ascii="方正仿宋_GB2312" w:hAnsi="方正仿宋_GB2312" w:eastAsia="方正仿宋_GB2312" w:cs="方正仿宋_GB2312"/>
          <w:b/>
          <w:bCs w:val="0"/>
          <w:sz w:val="32"/>
          <w:szCs w:val="32"/>
          <w:lang w:val="en-US" w:eastAsia="zh-CN"/>
        </w:rPr>
        <w:t>三</w:t>
      </w:r>
      <w:r>
        <w:rPr>
          <w:rFonts w:hint="eastAsia" w:ascii="方正仿宋_GB2312" w:hAnsi="方正仿宋_GB2312" w:eastAsia="方正仿宋_GB2312" w:cs="方正仿宋_GB2312"/>
          <w:b/>
          <w:bCs w:val="0"/>
          <w:sz w:val="32"/>
          <w:szCs w:val="32"/>
          <w:lang w:eastAsia="zh-CN"/>
        </w:rPr>
        <w:t>）</w:t>
      </w:r>
      <w:r>
        <w:rPr>
          <w:rFonts w:hint="eastAsia" w:ascii="方正仿宋_GB2312" w:hAnsi="方正仿宋_GB2312" w:eastAsia="方正仿宋_GB2312" w:cs="方正仿宋_GB2312"/>
          <w:b/>
          <w:bCs w:val="0"/>
          <w:sz w:val="32"/>
          <w:szCs w:val="32"/>
        </w:rPr>
        <w:t>协同控制服务器中心操作管理系统-机器人软件1套</w:t>
      </w:r>
    </w:p>
    <w:p w14:paraId="3AE1FD62">
      <w:pPr>
        <w:spacing w:line="560" w:lineRule="exact"/>
        <w:ind w:firstLine="420" w:firstLineChars="200"/>
        <w:rPr>
          <w:rFonts w:hint="eastAsia" w:ascii="方正仿宋_GB2312" w:hAnsi="方正仿宋_GB2312" w:eastAsia="方正仿宋_GB2312" w:cs="方正仿宋_GB2312"/>
          <w:bCs/>
          <w:sz w:val="32"/>
          <w:szCs w:val="32"/>
        </w:rPr>
      </w:pPr>
      <w:r>
        <w:rPr>
          <w:rFonts w:hint="eastAsia" w:ascii="微软雅黑" w:hAnsi="微软雅黑" w:eastAsia="微软雅黑" w:cs="微软雅黑"/>
          <w:sz w:val="21"/>
          <w:szCs w:val="21"/>
        </w:rPr>
        <w:t>★</w:t>
      </w:r>
      <w:r>
        <w:rPr>
          <w:rFonts w:hint="eastAsia" w:ascii="方正仿宋_GB2312" w:hAnsi="方正仿宋_GB2312" w:eastAsia="方正仿宋_GB2312" w:cs="方正仿宋_GB2312"/>
          <w:bCs/>
          <w:sz w:val="32"/>
          <w:szCs w:val="32"/>
          <w:lang w:val="en-US" w:eastAsia="zh-CN"/>
        </w:rPr>
        <w:t>1）</w:t>
      </w:r>
      <w:r>
        <w:rPr>
          <w:rFonts w:hint="eastAsia" w:ascii="方正仿宋_GB2312" w:hAnsi="方正仿宋_GB2312" w:eastAsia="方正仿宋_GB2312" w:cs="方正仿宋_GB2312"/>
          <w:bCs/>
          <w:sz w:val="32"/>
          <w:szCs w:val="32"/>
        </w:rPr>
        <w:t>功能：操作管理系统实现策略脚本库管理、</w:t>
      </w:r>
      <w:r>
        <w:rPr>
          <w:rFonts w:hint="eastAsia" w:ascii="方正仿宋_GB2312" w:hAnsi="方正仿宋_GB2312" w:eastAsia="方正仿宋_GB2312" w:cs="方正仿宋_GB2312"/>
          <w:bCs/>
          <w:sz w:val="32"/>
          <w:szCs w:val="32"/>
          <w:lang w:val="en-US" w:eastAsia="zh-CN"/>
        </w:rPr>
        <w:t>机器人</w:t>
      </w:r>
      <w:r>
        <w:rPr>
          <w:rFonts w:hint="eastAsia" w:ascii="方正仿宋_GB2312" w:hAnsi="方正仿宋_GB2312" w:eastAsia="方正仿宋_GB2312" w:cs="方正仿宋_GB2312"/>
          <w:bCs/>
          <w:sz w:val="32"/>
          <w:szCs w:val="32"/>
        </w:rPr>
        <w:t>仿真控制功能。后台仿真软件融合二维图像、机器人本体模型、上位机(策略机)控制等功能。实现机器人运动模拟、机械臂算法设计与仿真、脚本导入及管理、数据分析等功能；</w:t>
      </w:r>
    </w:p>
    <w:p w14:paraId="0524F45E">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2）</w:t>
      </w:r>
      <w:r>
        <w:rPr>
          <w:rFonts w:hint="eastAsia" w:ascii="方正仿宋_GB2312" w:hAnsi="方正仿宋_GB2312" w:eastAsia="方正仿宋_GB2312" w:cs="方正仿宋_GB2312"/>
          <w:bCs/>
          <w:sz w:val="32"/>
          <w:szCs w:val="32"/>
        </w:rPr>
        <w:t>教学功能：支持实验教学、课程设计、毕业设计、学科竞赛、科研验证全流程；</w:t>
      </w:r>
    </w:p>
    <w:p w14:paraId="4117A8DB">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lang w:val="en-US" w:eastAsia="zh-CN"/>
        </w:rPr>
        <w:t>3）</w:t>
      </w:r>
      <w:r>
        <w:rPr>
          <w:rFonts w:hint="eastAsia" w:ascii="方正仿宋_GB2312" w:hAnsi="方正仿宋_GB2312" w:eastAsia="方正仿宋_GB2312" w:cs="方正仿宋_GB2312"/>
          <w:bCs/>
          <w:sz w:val="32"/>
          <w:szCs w:val="32"/>
        </w:rPr>
        <w:t>软件的license永久授权，且安装的上位机数量不受限制（使用人数不受限制）。</w:t>
      </w:r>
    </w:p>
    <w:p w14:paraId="275416EE">
      <w:pPr>
        <w:spacing w:line="560" w:lineRule="exact"/>
        <w:ind w:firstLine="643" w:firstLineChars="200"/>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lang w:val="en-US" w:eastAsia="zh-CN"/>
        </w:rPr>
        <w:t>2.2</w:t>
      </w:r>
      <w:r>
        <w:rPr>
          <w:rFonts w:hint="eastAsia" w:ascii="方正仿宋_GB2312" w:hAnsi="方正仿宋_GB2312" w:eastAsia="方正仿宋_GB2312" w:cs="方正仿宋_GB2312"/>
          <w:b/>
          <w:bCs w:val="0"/>
          <w:sz w:val="32"/>
          <w:szCs w:val="32"/>
        </w:rPr>
        <w:t>其他要求</w:t>
      </w:r>
    </w:p>
    <w:p w14:paraId="1D6DAC10">
      <w:pPr>
        <w:spacing w:line="560" w:lineRule="exact"/>
        <w:ind w:firstLine="640" w:firstLineChars="200"/>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1、提供免费技术咨询1年</w:t>
      </w:r>
    </w:p>
    <w:p w14:paraId="09AA563B">
      <w:pPr>
        <w:spacing w:line="560" w:lineRule="exact"/>
        <w:ind w:firstLine="640" w:firstLineChars="200"/>
        <w:rPr>
          <w:rFonts w:hint="eastAsia" w:ascii="仿宋" w:hAnsi="仿宋" w:eastAsia="方正仿宋_GB2312" w:cs="仿宋"/>
          <w:sz w:val="32"/>
          <w:szCs w:val="32"/>
          <w:lang w:val="en-US" w:eastAsia="zh-CN"/>
        </w:rPr>
      </w:pPr>
      <w:r>
        <w:rPr>
          <w:rFonts w:hint="eastAsia" w:ascii="方正仿宋_GB2312" w:hAnsi="方正仿宋_GB2312" w:eastAsia="方正仿宋_GB2312" w:cs="方正仿宋_GB2312"/>
          <w:bCs/>
          <w:sz w:val="32"/>
          <w:szCs w:val="32"/>
        </w:rPr>
        <w:t>2、提供关于设备使用、日常维护等内容的培训，≥2名教师</w:t>
      </w:r>
      <w:r>
        <w:rPr>
          <w:rFonts w:hint="eastAsia" w:ascii="方正仿宋_GB2312" w:hAnsi="方正仿宋_GB2312" w:eastAsia="方正仿宋_GB2312" w:cs="方正仿宋_GB2312"/>
          <w:bCs/>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CCC5D"/>
    <w:multiLevelType w:val="singleLevel"/>
    <w:tmpl w:val="907CCC5D"/>
    <w:lvl w:ilvl="0" w:tentative="0">
      <w:start w:val="1"/>
      <w:numFmt w:val="chineseCounting"/>
      <w:suff w:val="nothing"/>
      <w:lvlText w:val="%1、"/>
      <w:lvlJc w:val="left"/>
      <w:rPr>
        <w:rFonts w:hint="eastAsia"/>
        <w:b/>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BD0"/>
    <w:rsid w:val="00014610"/>
    <w:rsid w:val="0001477A"/>
    <w:rsid w:val="000218EA"/>
    <w:rsid w:val="000304E4"/>
    <w:rsid w:val="00030BD0"/>
    <w:rsid w:val="00052193"/>
    <w:rsid w:val="00061960"/>
    <w:rsid w:val="00067FFC"/>
    <w:rsid w:val="000728BE"/>
    <w:rsid w:val="000761E3"/>
    <w:rsid w:val="0008713A"/>
    <w:rsid w:val="0009368E"/>
    <w:rsid w:val="0009481D"/>
    <w:rsid w:val="000C72F5"/>
    <w:rsid w:val="000D2589"/>
    <w:rsid w:val="000D317C"/>
    <w:rsid w:val="000E6596"/>
    <w:rsid w:val="000F47F9"/>
    <w:rsid w:val="00101371"/>
    <w:rsid w:val="001070E5"/>
    <w:rsid w:val="00110D84"/>
    <w:rsid w:val="001117A9"/>
    <w:rsid w:val="001127B0"/>
    <w:rsid w:val="001249EA"/>
    <w:rsid w:val="001273AA"/>
    <w:rsid w:val="00131441"/>
    <w:rsid w:val="0016074A"/>
    <w:rsid w:val="00173700"/>
    <w:rsid w:val="001B36E1"/>
    <w:rsid w:val="001E29B0"/>
    <w:rsid w:val="001E418D"/>
    <w:rsid w:val="001E7E75"/>
    <w:rsid w:val="001F04DF"/>
    <w:rsid w:val="001F4EE7"/>
    <w:rsid w:val="00204788"/>
    <w:rsid w:val="002048A6"/>
    <w:rsid w:val="00220718"/>
    <w:rsid w:val="00226A34"/>
    <w:rsid w:val="0024211E"/>
    <w:rsid w:val="00247851"/>
    <w:rsid w:val="00255D8C"/>
    <w:rsid w:val="002A1F8D"/>
    <w:rsid w:val="002B1F4B"/>
    <w:rsid w:val="002B44E9"/>
    <w:rsid w:val="002B5F9C"/>
    <w:rsid w:val="002D4C5E"/>
    <w:rsid w:val="002E5E9C"/>
    <w:rsid w:val="00300084"/>
    <w:rsid w:val="00301206"/>
    <w:rsid w:val="00304C4C"/>
    <w:rsid w:val="00310DC7"/>
    <w:rsid w:val="00322E4B"/>
    <w:rsid w:val="00331198"/>
    <w:rsid w:val="00342C96"/>
    <w:rsid w:val="00361475"/>
    <w:rsid w:val="0037728D"/>
    <w:rsid w:val="003B5A9C"/>
    <w:rsid w:val="003C071C"/>
    <w:rsid w:val="003E3DFB"/>
    <w:rsid w:val="003F3302"/>
    <w:rsid w:val="003F5B15"/>
    <w:rsid w:val="003F6183"/>
    <w:rsid w:val="004103C0"/>
    <w:rsid w:val="004323A7"/>
    <w:rsid w:val="00450BAB"/>
    <w:rsid w:val="0045270E"/>
    <w:rsid w:val="004539AC"/>
    <w:rsid w:val="00453F00"/>
    <w:rsid w:val="004821D0"/>
    <w:rsid w:val="004827A4"/>
    <w:rsid w:val="0048302D"/>
    <w:rsid w:val="004849E5"/>
    <w:rsid w:val="00486E3B"/>
    <w:rsid w:val="004B7732"/>
    <w:rsid w:val="004C1862"/>
    <w:rsid w:val="004C1AF2"/>
    <w:rsid w:val="004D35A5"/>
    <w:rsid w:val="004F02C8"/>
    <w:rsid w:val="004F5FD5"/>
    <w:rsid w:val="00501F6D"/>
    <w:rsid w:val="0050373B"/>
    <w:rsid w:val="00515482"/>
    <w:rsid w:val="00522A2D"/>
    <w:rsid w:val="00524956"/>
    <w:rsid w:val="00530735"/>
    <w:rsid w:val="00555384"/>
    <w:rsid w:val="00560C50"/>
    <w:rsid w:val="00561F86"/>
    <w:rsid w:val="00574EBE"/>
    <w:rsid w:val="00592DE0"/>
    <w:rsid w:val="005E0731"/>
    <w:rsid w:val="005E239D"/>
    <w:rsid w:val="005E28CE"/>
    <w:rsid w:val="005E3C37"/>
    <w:rsid w:val="005F30CD"/>
    <w:rsid w:val="006021CA"/>
    <w:rsid w:val="00610B80"/>
    <w:rsid w:val="00611535"/>
    <w:rsid w:val="00616158"/>
    <w:rsid w:val="00621B7D"/>
    <w:rsid w:val="006239A8"/>
    <w:rsid w:val="00627C65"/>
    <w:rsid w:val="006331E8"/>
    <w:rsid w:val="00635CBA"/>
    <w:rsid w:val="006524BC"/>
    <w:rsid w:val="00654BC3"/>
    <w:rsid w:val="00662A4E"/>
    <w:rsid w:val="00664293"/>
    <w:rsid w:val="006744AB"/>
    <w:rsid w:val="00676958"/>
    <w:rsid w:val="00687FF3"/>
    <w:rsid w:val="00690876"/>
    <w:rsid w:val="00696274"/>
    <w:rsid w:val="006D3EAB"/>
    <w:rsid w:val="006D4FC2"/>
    <w:rsid w:val="006E36FF"/>
    <w:rsid w:val="006E615C"/>
    <w:rsid w:val="00731803"/>
    <w:rsid w:val="00746143"/>
    <w:rsid w:val="007508E0"/>
    <w:rsid w:val="00754695"/>
    <w:rsid w:val="007A57F4"/>
    <w:rsid w:val="007B09A2"/>
    <w:rsid w:val="007B4F5E"/>
    <w:rsid w:val="007B72A5"/>
    <w:rsid w:val="007B78A7"/>
    <w:rsid w:val="007C3CD7"/>
    <w:rsid w:val="007C5D2E"/>
    <w:rsid w:val="007D54DB"/>
    <w:rsid w:val="007E5766"/>
    <w:rsid w:val="007F4D89"/>
    <w:rsid w:val="00801572"/>
    <w:rsid w:val="00801CA1"/>
    <w:rsid w:val="008214B2"/>
    <w:rsid w:val="0084118B"/>
    <w:rsid w:val="008424D7"/>
    <w:rsid w:val="00851C2D"/>
    <w:rsid w:val="00873F27"/>
    <w:rsid w:val="0088318D"/>
    <w:rsid w:val="008A3623"/>
    <w:rsid w:val="008A3E09"/>
    <w:rsid w:val="008B1269"/>
    <w:rsid w:val="008B43B3"/>
    <w:rsid w:val="008C38CD"/>
    <w:rsid w:val="008D5979"/>
    <w:rsid w:val="008E2671"/>
    <w:rsid w:val="008F2206"/>
    <w:rsid w:val="008F31EF"/>
    <w:rsid w:val="00914C18"/>
    <w:rsid w:val="00925893"/>
    <w:rsid w:val="00926197"/>
    <w:rsid w:val="009C6512"/>
    <w:rsid w:val="009C7684"/>
    <w:rsid w:val="009D5B37"/>
    <w:rsid w:val="00A00983"/>
    <w:rsid w:val="00A07838"/>
    <w:rsid w:val="00A12018"/>
    <w:rsid w:val="00A25C10"/>
    <w:rsid w:val="00A378A7"/>
    <w:rsid w:val="00A74D8C"/>
    <w:rsid w:val="00A93402"/>
    <w:rsid w:val="00AA18E3"/>
    <w:rsid w:val="00AC0A3A"/>
    <w:rsid w:val="00AC7F05"/>
    <w:rsid w:val="00AD70AA"/>
    <w:rsid w:val="00AF251E"/>
    <w:rsid w:val="00AF53AE"/>
    <w:rsid w:val="00B01804"/>
    <w:rsid w:val="00B21F94"/>
    <w:rsid w:val="00B24753"/>
    <w:rsid w:val="00B633CC"/>
    <w:rsid w:val="00B951D6"/>
    <w:rsid w:val="00B96CB9"/>
    <w:rsid w:val="00BA3965"/>
    <w:rsid w:val="00BC21E5"/>
    <w:rsid w:val="00BC278C"/>
    <w:rsid w:val="00BD2089"/>
    <w:rsid w:val="00BE270D"/>
    <w:rsid w:val="00BF0A38"/>
    <w:rsid w:val="00BF2B7F"/>
    <w:rsid w:val="00C26AA5"/>
    <w:rsid w:val="00C3098D"/>
    <w:rsid w:val="00C42D0E"/>
    <w:rsid w:val="00C77807"/>
    <w:rsid w:val="00C978E9"/>
    <w:rsid w:val="00CD5C60"/>
    <w:rsid w:val="00CD7C7B"/>
    <w:rsid w:val="00CF05CF"/>
    <w:rsid w:val="00D0388B"/>
    <w:rsid w:val="00D04E51"/>
    <w:rsid w:val="00D259FB"/>
    <w:rsid w:val="00D50629"/>
    <w:rsid w:val="00D53E05"/>
    <w:rsid w:val="00D558BF"/>
    <w:rsid w:val="00D61FBC"/>
    <w:rsid w:val="00D8212B"/>
    <w:rsid w:val="00D97122"/>
    <w:rsid w:val="00DB2672"/>
    <w:rsid w:val="00DE73AB"/>
    <w:rsid w:val="00DF460F"/>
    <w:rsid w:val="00E01BB8"/>
    <w:rsid w:val="00E233E2"/>
    <w:rsid w:val="00E24866"/>
    <w:rsid w:val="00E42137"/>
    <w:rsid w:val="00E46F9C"/>
    <w:rsid w:val="00E6513F"/>
    <w:rsid w:val="00E93EC7"/>
    <w:rsid w:val="00EA2414"/>
    <w:rsid w:val="00EB0C98"/>
    <w:rsid w:val="00EB1FA6"/>
    <w:rsid w:val="00EF6E55"/>
    <w:rsid w:val="00F01C64"/>
    <w:rsid w:val="00F07C6B"/>
    <w:rsid w:val="00F160E0"/>
    <w:rsid w:val="00F20E3B"/>
    <w:rsid w:val="00F3741F"/>
    <w:rsid w:val="00F37970"/>
    <w:rsid w:val="00F70A07"/>
    <w:rsid w:val="00F72C95"/>
    <w:rsid w:val="00F84F3B"/>
    <w:rsid w:val="00F87A5C"/>
    <w:rsid w:val="00FA31F6"/>
    <w:rsid w:val="00FA4B55"/>
    <w:rsid w:val="00FB4F78"/>
    <w:rsid w:val="00FC222D"/>
    <w:rsid w:val="00FD6BC2"/>
    <w:rsid w:val="00FE0110"/>
    <w:rsid w:val="00FE2561"/>
    <w:rsid w:val="00FE7FE9"/>
    <w:rsid w:val="085E7023"/>
    <w:rsid w:val="0B941D69"/>
    <w:rsid w:val="0BEA33C6"/>
    <w:rsid w:val="0C951DC3"/>
    <w:rsid w:val="0E4C45AA"/>
    <w:rsid w:val="11844488"/>
    <w:rsid w:val="126366EB"/>
    <w:rsid w:val="15E33187"/>
    <w:rsid w:val="19290C12"/>
    <w:rsid w:val="1E8378F7"/>
    <w:rsid w:val="1F8514A6"/>
    <w:rsid w:val="26D829E9"/>
    <w:rsid w:val="27585D4A"/>
    <w:rsid w:val="288C3B8C"/>
    <w:rsid w:val="29A42A5E"/>
    <w:rsid w:val="2B211EC4"/>
    <w:rsid w:val="2DCB1D49"/>
    <w:rsid w:val="2DCD0733"/>
    <w:rsid w:val="30FF2EAD"/>
    <w:rsid w:val="339F06C2"/>
    <w:rsid w:val="42AA0C30"/>
    <w:rsid w:val="46F43DE6"/>
    <w:rsid w:val="48AC467B"/>
    <w:rsid w:val="4B41360A"/>
    <w:rsid w:val="4C286B90"/>
    <w:rsid w:val="4E2E69C3"/>
    <w:rsid w:val="509C0C2C"/>
    <w:rsid w:val="53E47207"/>
    <w:rsid w:val="559341D4"/>
    <w:rsid w:val="56533CE3"/>
    <w:rsid w:val="59C17412"/>
    <w:rsid w:val="5F386764"/>
    <w:rsid w:val="61450C58"/>
    <w:rsid w:val="62F37D50"/>
    <w:rsid w:val="66214F89"/>
    <w:rsid w:val="679D684F"/>
    <w:rsid w:val="6CAB34E9"/>
    <w:rsid w:val="6F204BC4"/>
    <w:rsid w:val="7137174F"/>
    <w:rsid w:val="714155A9"/>
    <w:rsid w:val="71B20DD6"/>
    <w:rsid w:val="769F5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semiHidden/>
    <w:unhideWhenUsed/>
    <w:qFormat/>
    <w:uiPriority w:val="9"/>
    <w:pPr>
      <w:keepNext/>
      <w:keepLines/>
      <w:spacing w:before="260" w:after="260" w:line="416" w:lineRule="auto"/>
      <w:outlineLvl w:val="2"/>
    </w:pPr>
    <w:rPr>
      <w:rFonts w:ascii="Calibri" w:hAnsi="Calibri" w:eastAsia="宋体" w:cs="Times New Roman"/>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qFormat/>
    <w:uiPriority w:val="0"/>
    <w:pPr>
      <w:jc w:val="left"/>
    </w:pPr>
    <w:rPr>
      <w:rFonts w:ascii="Calibri" w:hAnsi="Calibri" w:eastAsia="宋体" w:cs="Times New Roman"/>
      <w:szCs w:val="24"/>
    </w:rPr>
  </w:style>
  <w:style w:type="paragraph" w:styleId="4">
    <w:name w:val="Body Text"/>
    <w:basedOn w:val="1"/>
    <w:link w:val="19"/>
    <w:qFormat/>
    <w:uiPriority w:val="0"/>
    <w:pPr>
      <w:spacing w:line="900" w:lineRule="exact"/>
    </w:pPr>
    <w:rPr>
      <w:rFonts w:ascii="黑体" w:hAnsi="华文细黑" w:eastAsia="黑体" w:cs="Times New Roman"/>
      <w:bCs/>
      <w:w w:val="90"/>
      <w:sz w:val="72"/>
      <w:szCs w:val="84"/>
    </w:rPr>
  </w:style>
  <w:style w:type="paragraph" w:styleId="5">
    <w:name w:val="Balloon Text"/>
    <w:basedOn w:val="1"/>
    <w:link w:val="25"/>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Arial"/>
      <w:kern w:val="0"/>
      <w:sz w:val="24"/>
      <w:szCs w:val="24"/>
    </w:rPr>
  </w:style>
  <w:style w:type="paragraph" w:styleId="9">
    <w:name w:val="Body Text First Indent"/>
    <w:basedOn w:val="4"/>
    <w:link w:val="20"/>
    <w:qFormat/>
    <w:uiPriority w:val="0"/>
    <w:pPr>
      <w:spacing w:line="312" w:lineRule="auto"/>
      <w:ind w:firstLine="420"/>
    </w:pPr>
    <w:rPr>
      <w:rFonts w:ascii="Times New Roman" w:hAnsi="Times New Roman"/>
      <w:szCs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styleId="16">
    <w:name w:val="List Paragraph"/>
    <w:basedOn w:val="1"/>
    <w:qFormat/>
    <w:uiPriority w:val="1"/>
    <w:pPr>
      <w:ind w:firstLine="420" w:firstLineChars="200"/>
    </w:pPr>
  </w:style>
  <w:style w:type="character" w:customStyle="1" w:styleId="17">
    <w:name w:val="标题 3 字符"/>
    <w:basedOn w:val="12"/>
    <w:link w:val="2"/>
    <w:semiHidden/>
    <w:qFormat/>
    <w:uiPriority w:val="9"/>
    <w:rPr>
      <w:rFonts w:ascii="Calibri" w:hAnsi="Calibri" w:eastAsia="宋体" w:cs="Times New Roman"/>
      <w:b/>
      <w:bCs/>
      <w:sz w:val="32"/>
      <w:szCs w:val="32"/>
    </w:rPr>
  </w:style>
  <w:style w:type="character" w:customStyle="1" w:styleId="18">
    <w:name w:val="批注文字 字符"/>
    <w:basedOn w:val="12"/>
    <w:link w:val="3"/>
    <w:qFormat/>
    <w:uiPriority w:val="0"/>
    <w:rPr>
      <w:rFonts w:ascii="Calibri" w:hAnsi="Calibri" w:eastAsia="宋体" w:cs="Times New Roman"/>
      <w:szCs w:val="24"/>
    </w:rPr>
  </w:style>
  <w:style w:type="character" w:customStyle="1" w:styleId="19">
    <w:name w:val="正文文本 字符"/>
    <w:basedOn w:val="12"/>
    <w:link w:val="4"/>
    <w:qFormat/>
    <w:uiPriority w:val="0"/>
    <w:rPr>
      <w:rFonts w:ascii="黑体" w:hAnsi="华文细黑" w:eastAsia="黑体" w:cs="Times New Roman"/>
      <w:bCs/>
      <w:w w:val="90"/>
      <w:sz w:val="72"/>
      <w:szCs w:val="84"/>
    </w:rPr>
  </w:style>
  <w:style w:type="character" w:customStyle="1" w:styleId="20">
    <w:name w:val="正文首行缩进 字符"/>
    <w:basedOn w:val="19"/>
    <w:link w:val="9"/>
    <w:qFormat/>
    <w:uiPriority w:val="0"/>
    <w:rPr>
      <w:rFonts w:ascii="Times New Roman" w:hAnsi="Times New Roman" w:eastAsia="黑体" w:cs="Times New Roman"/>
      <w:w w:val="90"/>
      <w:sz w:val="72"/>
      <w:szCs w:val="24"/>
    </w:rPr>
  </w:style>
  <w:style w:type="paragraph" w:customStyle="1" w:styleId="21">
    <w:name w:val="Char Char Char Char Char Char Char1 Char"/>
    <w:basedOn w:val="1"/>
    <w:autoRedefine/>
    <w:qFormat/>
    <w:uiPriority w:val="0"/>
    <w:rPr>
      <w:rFonts w:ascii="Tahoma" w:hAnsi="Tahoma" w:eastAsia="宋体" w:cs="Times New Roman"/>
      <w:sz w:val="24"/>
      <w:szCs w:val="20"/>
    </w:rPr>
  </w:style>
  <w:style w:type="paragraph" w:customStyle="1" w:styleId="22">
    <w:name w:val="列出段落1"/>
    <w:basedOn w:val="1"/>
    <w:autoRedefine/>
    <w:qFormat/>
    <w:uiPriority w:val="99"/>
    <w:pPr>
      <w:adjustRightInd w:val="0"/>
      <w:spacing w:line="360" w:lineRule="atLeast"/>
      <w:ind w:firstLine="420" w:firstLineChars="200"/>
      <w:jc w:val="left"/>
    </w:pPr>
    <w:rPr>
      <w:rFonts w:ascii="Times New Roman" w:hAnsi="Times New Roman" w:eastAsia="宋体" w:cs="Times New Roman"/>
      <w:kern w:val="0"/>
      <w:sz w:val="24"/>
      <w:szCs w:val="24"/>
    </w:rPr>
  </w:style>
  <w:style w:type="character" w:customStyle="1" w:styleId="23">
    <w:name w:val="font11"/>
    <w:basedOn w:val="12"/>
    <w:qFormat/>
    <w:uiPriority w:val="0"/>
    <w:rPr>
      <w:rFonts w:hint="eastAsia" w:ascii="宋体" w:hAnsi="宋体" w:eastAsia="宋体" w:cs="宋体"/>
      <w:b/>
      <w:bCs/>
      <w:color w:val="000000"/>
      <w:sz w:val="24"/>
      <w:szCs w:val="24"/>
      <w:u w:val="none"/>
    </w:rPr>
  </w:style>
  <w:style w:type="character" w:customStyle="1" w:styleId="24">
    <w:name w:val="font71"/>
    <w:basedOn w:val="12"/>
    <w:qFormat/>
    <w:uiPriority w:val="0"/>
    <w:rPr>
      <w:rFonts w:hint="eastAsia" w:ascii="宋体" w:hAnsi="宋体" w:eastAsia="宋体" w:cs="宋体"/>
      <w:color w:val="000000"/>
      <w:sz w:val="20"/>
      <w:szCs w:val="20"/>
      <w:u w:val="none"/>
      <w:vertAlign w:val="superscript"/>
    </w:rPr>
  </w:style>
  <w:style w:type="character" w:customStyle="1" w:styleId="25">
    <w:name w:val="批注框文本 字符"/>
    <w:basedOn w:val="12"/>
    <w:link w:val="5"/>
    <w:semiHidden/>
    <w:qFormat/>
    <w:uiPriority w:val="99"/>
    <w:rPr>
      <w:sz w:val="18"/>
      <w:szCs w:val="18"/>
    </w:rPr>
  </w:style>
  <w:style w:type="character" w:customStyle="1" w:styleId="26">
    <w:name w:val="HTML 预设格式 字符"/>
    <w:basedOn w:val="12"/>
    <w:link w:val="8"/>
    <w:qFormat/>
    <w:uiPriority w:val="0"/>
    <w:rPr>
      <w:rFonts w:ascii="Arial" w:hAnsi="Arial" w:eastAsia="宋体" w:cs="Arial"/>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3796</Words>
  <Characters>4406</Characters>
  <Lines>17</Lines>
  <Paragraphs>5</Paragraphs>
  <TotalTime>1</TotalTime>
  <ScaleCrop>false</ScaleCrop>
  <LinksUpToDate>false</LinksUpToDate>
  <CharactersWithSpaces>4423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2025-02-26T07:59:00Z</dcterms:created>
  <dc:creator>chq</dc:creator>
  <cp:lastModifiedBy>俞传阳</cp:lastModifiedBy>
  <cp:lastPrinted>2026-09-14T02:39:00Z</cp:lastPrinted>
  <dcterms:modified xsi:type="dcterms:W3CDTF">2026-09-14T08:33:12Z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eyJoZGlkIjoiZWI0NzFkMTFjOWUyNjVlMWY2OTg1ZTc0M2EyOTQwNDAiLCJ1c2VySWQiOiI4MDMzNzExMjEifQ==</vt:lpwstr>
  </property>
  <property fmtid="{D5CDD505-2E9C-101B-9397-08002B2CF9AE}" pid="3" name="KSOProductBuildVer">
    <vt:lpwstr>2052-12.1.0.28505</vt:lpwstr>
  </property>
  <property fmtid="{D5CDD505-2E9C-101B-9397-08002B2CF9AE}" pid="4" name="ICV">
    <vt:lpwstr>855026D90D9B4946AF81773390AE8495_13</vt:lpwstr>
  </property>
</Properties>
</file>