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0521"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673090" cy="7612380"/>
            <wp:effectExtent l="0" t="0" r="11430" b="7620"/>
            <wp:docPr id="1" name="图片 1" descr="微信图片_20260130091253_232_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30091253_232_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761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390B0F9">
      <w:pPr>
        <w:spacing w:line="560" w:lineRule="exact"/>
        <w:rPr>
          <w:rFonts w:ascii="仿宋" w:hAnsi="仿宋" w:eastAsia="仿宋" w:cs="仿宋"/>
          <w:bCs/>
          <w:sz w:val="32"/>
          <w:szCs w:val="32"/>
        </w:rPr>
      </w:pPr>
    </w:p>
    <w:p w14:paraId="49D1EEFE">
      <w:pPr>
        <w:spacing w:line="560" w:lineRule="exact"/>
        <w:rPr>
          <w:rFonts w:ascii="仿宋" w:hAnsi="仿宋" w:eastAsia="仿宋" w:cs="仿宋"/>
          <w:bCs/>
          <w:sz w:val="32"/>
          <w:szCs w:val="32"/>
        </w:rPr>
      </w:pPr>
    </w:p>
    <w:p w14:paraId="3CA1839C">
      <w:pPr>
        <w:spacing w:line="560" w:lineRule="exact"/>
        <w:rPr>
          <w:rFonts w:ascii="仿宋" w:hAnsi="仿宋" w:eastAsia="仿宋" w:cs="仿宋"/>
          <w:bCs/>
          <w:sz w:val="32"/>
          <w:szCs w:val="32"/>
        </w:rPr>
      </w:pPr>
    </w:p>
    <w:p w14:paraId="516C6B26">
      <w:pPr>
        <w:spacing w:line="56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品牌供应商名称（公章）：</w:t>
      </w:r>
    </w:p>
    <w:p w14:paraId="6F7D444B">
      <w:pPr>
        <w:spacing w:line="56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联系人及联系方式：</w:t>
      </w:r>
    </w:p>
    <w:p w14:paraId="2AC2984A">
      <w:pPr>
        <w:pStyle w:val="13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项目名称：</w:t>
      </w:r>
    </w:p>
    <w:p w14:paraId="78E50772">
      <w:pPr>
        <w:pStyle w:val="13"/>
        <w:spacing w:line="560" w:lineRule="exact"/>
        <w:ind w:left="720" w:firstLine="0" w:firstLineChars="0"/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安徽建筑大学校园机动车测速项目</w:t>
      </w:r>
    </w:p>
    <w:p w14:paraId="12FA804E">
      <w:pPr>
        <w:pStyle w:val="13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项目预算与模式：</w:t>
      </w:r>
    </w:p>
    <w:p w14:paraId="429F8F07"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本项目初步预算为人民币33.5万元。拟采用“供应商投资建设、学校采购”模式，由中标人负责提供符合要求的测速系统设备、软件平台、安装调试及售后服务，学校支付一次性采购费用。</w:t>
      </w:r>
    </w:p>
    <w:p w14:paraId="16DF8438">
      <w:pPr>
        <w:pStyle w:val="13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项目概况与核心目标：</w:t>
      </w:r>
    </w:p>
    <w:p w14:paraId="086011DE"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本项目针对我校师生密集、机动车（含教职工车、科研车、访客车）流量增长，传统交通管理效率低、安全隐患突出的问题，旨在构建智能化校内机动车测速管理体系。</w:t>
      </w:r>
      <w:r>
        <w:rPr>
          <w:rFonts w:hint="eastAsia" w:ascii="MS Gothic" w:hAnsi="MS Gothic" w:eastAsia="MS Gothic" w:cs="MS Gothic"/>
          <w:bCs/>
          <w:sz w:val="32"/>
          <w:szCs w:val="32"/>
        </w:rPr>
        <w:t>​</w:t>
      </w:r>
    </w:p>
    <w:p w14:paraId="05DF93C4"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项目核心是在校园重点区域（教学区周边、宿舍区、校园主干道）部署测速设备，结合管理平台，实现</w:t>
      </w:r>
      <w:r>
        <w:rPr>
          <w:rFonts w:ascii="仿宋" w:hAnsi="仿宋" w:eastAsia="仿宋" w:cs="仿宋"/>
          <w:bCs/>
          <w:sz w:val="32"/>
          <w:szCs w:val="32"/>
        </w:rPr>
        <w:t xml:space="preserve"> 24 </w:t>
      </w:r>
      <w:r>
        <w:rPr>
          <w:rFonts w:hint="eastAsia" w:ascii="仿宋" w:hAnsi="仿宋" w:eastAsia="仿宋" w:cs="仿宋"/>
          <w:bCs/>
          <w:sz w:val="32"/>
          <w:szCs w:val="32"/>
        </w:rPr>
        <w:t>小时实时车速监测、超速自动抓拍预警、数据存储分析功能；形成</w:t>
      </w:r>
      <w:r>
        <w:rPr>
          <w:rFonts w:ascii="仿宋" w:hAnsi="仿宋" w:eastAsia="仿宋" w:cs="仿宋"/>
          <w:bCs/>
          <w:sz w:val="32"/>
          <w:szCs w:val="32"/>
        </w:rPr>
        <w:t xml:space="preserve"> “</w:t>
      </w:r>
      <w:r>
        <w:rPr>
          <w:rFonts w:hint="eastAsia" w:ascii="仿宋" w:hAnsi="仿宋" w:eastAsia="仿宋" w:cs="仿宋"/>
          <w:bCs/>
          <w:sz w:val="32"/>
          <w:szCs w:val="32"/>
        </w:rPr>
        <w:t>监测</w:t>
      </w:r>
      <w:r>
        <w:rPr>
          <w:rFonts w:ascii="仿宋" w:hAnsi="仿宋" w:eastAsia="仿宋" w:cs="仿宋"/>
          <w:bCs/>
          <w:sz w:val="32"/>
          <w:szCs w:val="32"/>
        </w:rPr>
        <w:t xml:space="preserve"> - </w:t>
      </w:r>
      <w:r>
        <w:rPr>
          <w:rFonts w:hint="eastAsia" w:ascii="仿宋" w:hAnsi="仿宋" w:eastAsia="仿宋" w:cs="仿宋"/>
          <w:bCs/>
          <w:sz w:val="32"/>
          <w:szCs w:val="32"/>
        </w:rPr>
        <w:t>预警</w:t>
      </w:r>
      <w:r>
        <w:rPr>
          <w:rFonts w:ascii="仿宋" w:hAnsi="仿宋" w:eastAsia="仿宋" w:cs="仿宋"/>
          <w:bCs/>
          <w:sz w:val="32"/>
          <w:szCs w:val="32"/>
        </w:rPr>
        <w:t xml:space="preserve"> - </w:t>
      </w:r>
      <w:r>
        <w:rPr>
          <w:rFonts w:hint="eastAsia" w:ascii="仿宋" w:hAnsi="仿宋" w:eastAsia="仿宋" w:cs="仿宋"/>
          <w:bCs/>
          <w:sz w:val="32"/>
          <w:szCs w:val="32"/>
        </w:rPr>
        <w:t>处置</w:t>
      </w:r>
      <w:r>
        <w:rPr>
          <w:rFonts w:ascii="仿宋" w:hAnsi="仿宋" w:eastAsia="仿宋" w:cs="仿宋"/>
          <w:bCs/>
          <w:sz w:val="32"/>
          <w:szCs w:val="32"/>
        </w:rPr>
        <w:t xml:space="preserve"> - </w:t>
      </w:r>
      <w:r>
        <w:rPr>
          <w:rFonts w:hint="eastAsia" w:ascii="仿宋" w:hAnsi="仿宋" w:eastAsia="仿宋" w:cs="仿宋"/>
          <w:bCs/>
          <w:sz w:val="32"/>
          <w:szCs w:val="32"/>
        </w:rPr>
        <w:t>追溯”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管理闭环。​</w:t>
      </w:r>
    </w:p>
    <w:p w14:paraId="0064205E"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建设目标为破解三大痛点：一是遏制超速行为，保障师生出行安全；二是替代部分人工巡逻，提升交通管理效率；三是留存违规数据，为纠纷处理提供依据。项目建成后，可优化校园交通秩序，助力智慧校园建设，同时通过数据支撑校园道路规划与安全教育，为现代化大学治理提供助力。</w:t>
      </w:r>
    </w:p>
    <w:p w14:paraId="7D482FB2">
      <w:pPr>
        <w:spacing w:line="56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</w:t>
      </w:r>
      <w:r>
        <w:rPr>
          <w:rFonts w:ascii="仿宋" w:hAnsi="仿宋" w:eastAsia="仿宋" w:cs="仿宋"/>
          <w:b/>
          <w:sz w:val="32"/>
          <w:szCs w:val="32"/>
        </w:rPr>
        <w:t>、调研内容</w:t>
      </w:r>
    </w:p>
    <w:p w14:paraId="2F8536F1">
      <w:pPr>
        <w:spacing w:line="56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（一）案例与业绩</w:t>
      </w:r>
    </w:p>
    <w:p w14:paraId="31BEE39A"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提供近三年内完成的校园或类似区域测速/安防项目案例；</w:t>
      </w:r>
    </w:p>
    <w:p w14:paraId="2F44B95E">
      <w:pPr>
        <w:spacing w:line="560" w:lineRule="exact"/>
        <w:ind w:firstLine="643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1个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2个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3个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4个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5个</w:t>
      </w:r>
    </w:p>
    <w:p w14:paraId="7DFCEF94">
      <w:pPr>
        <w:spacing w:line="56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（二）设备参数</w:t>
      </w:r>
    </w:p>
    <w:p w14:paraId="0A9957A1">
      <w:pPr>
        <w:spacing w:before="156" w:beforeLines="50" w:line="560" w:lineRule="exact"/>
        <w:ind w:left="420" w:left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1.核心参数</w:t>
      </w:r>
    </w:p>
    <w:p w14:paraId="67943F60">
      <w:pPr>
        <w:spacing w:before="156" w:beforeLines="50" w:line="560" w:lineRule="exact"/>
        <w:ind w:left="420" w:left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</w:t>
      </w:r>
      <w:r>
        <w:rPr>
          <w:rFonts w:ascii="仿宋" w:hAnsi="仿宋" w:eastAsia="仿宋" w:cs="仿宋"/>
          <w:b/>
          <w:sz w:val="32"/>
          <w:szCs w:val="32"/>
        </w:rPr>
        <w:t>.1</w:t>
      </w:r>
      <w:r>
        <w:rPr>
          <w:rFonts w:hint="eastAsia" w:ascii="仿宋" w:hAnsi="仿宋" w:eastAsia="仿宋" w:cs="仿宋"/>
          <w:b/>
          <w:sz w:val="32"/>
          <w:szCs w:val="32"/>
        </w:rPr>
        <w:t>雷视测速预警一体机</w:t>
      </w:r>
    </w:p>
    <w:p w14:paraId="5EE91E6D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</w:t>
      </w:r>
      <w:r>
        <w:rPr>
          <w:rFonts w:ascii="仿宋" w:hAnsi="仿宋" w:eastAsia="仿宋" w:cs="仿宋"/>
          <w:b/>
          <w:sz w:val="32"/>
          <w:szCs w:val="32"/>
        </w:rPr>
        <w:t xml:space="preserve">.1.1  </w:t>
      </w:r>
      <w:r>
        <w:rPr>
          <w:rFonts w:hint="eastAsia" w:ascii="仿宋" w:hAnsi="仿宋" w:eastAsia="仿宋" w:cs="仿宋"/>
          <w:bCs/>
          <w:sz w:val="32"/>
          <w:szCs w:val="32"/>
        </w:rPr>
        <w:t>一体化设备包含雷视一体机、2块LED屏、黄闪灯、语音柱等，支持按照学校要求定制外观颜色；</w:t>
      </w:r>
    </w:p>
    <w:p w14:paraId="564B08F4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64337291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</w:t>
      </w:r>
      <w:r>
        <w:rPr>
          <w:rFonts w:ascii="仿宋" w:hAnsi="仿宋" w:eastAsia="仿宋" w:cs="仿宋"/>
          <w:b/>
          <w:sz w:val="32"/>
          <w:szCs w:val="32"/>
        </w:rPr>
        <w:t xml:space="preserve">.1.2  </w:t>
      </w:r>
      <w:r>
        <w:rPr>
          <w:rFonts w:hint="eastAsia" w:ascii="仿宋" w:hAnsi="仿宋" w:eastAsia="仿宋" w:cs="仿宋"/>
          <w:bCs/>
          <w:sz w:val="32"/>
          <w:szCs w:val="32"/>
        </w:rPr>
        <w:t>雷达参数：工作频段：80GHz；测速范围：1-250km/h；测距范围：15-250m；</w:t>
      </w:r>
    </w:p>
    <w:p w14:paraId="770E4F77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67E75F8F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</w:t>
      </w:r>
      <w:r>
        <w:rPr>
          <w:rFonts w:ascii="仿宋" w:hAnsi="仿宋" w:eastAsia="仿宋" w:cs="仿宋"/>
          <w:b/>
          <w:sz w:val="32"/>
          <w:szCs w:val="32"/>
        </w:rPr>
        <w:t xml:space="preserve">.1.3  </w:t>
      </w:r>
      <w:r>
        <w:rPr>
          <w:rFonts w:hint="eastAsia" w:ascii="仿宋" w:hAnsi="仿宋" w:eastAsia="仿宋" w:cs="仿宋"/>
          <w:bCs/>
          <w:sz w:val="32"/>
          <w:szCs w:val="32"/>
        </w:rPr>
        <w:t>视频参数：帧率：≥30帧；图像分辨率≥2880*1620；</w:t>
      </w:r>
    </w:p>
    <w:p w14:paraId="6D4BC920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5EF35D68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</w:t>
      </w:r>
      <w:r>
        <w:rPr>
          <w:rFonts w:ascii="仿宋" w:hAnsi="仿宋" w:eastAsia="仿宋" w:cs="仿宋"/>
          <w:b/>
          <w:sz w:val="32"/>
          <w:szCs w:val="32"/>
        </w:rPr>
        <w:t xml:space="preserve">.1.4  </w:t>
      </w:r>
      <w:r>
        <w:rPr>
          <w:rFonts w:hint="eastAsia" w:ascii="仿宋" w:hAnsi="仿宋" w:eastAsia="仿宋" w:cs="仿宋"/>
          <w:bCs/>
          <w:sz w:val="32"/>
          <w:szCs w:val="32"/>
        </w:rPr>
        <w:t>显示屏参数:P10双基色模组，像素点间距≤10mm，上屏分辨率≥32*32，三色（黄、绿、红），下屏分辨率≥32*128，三色（黄、绿、红），屏幕≥6000 cd/㎡，界面可调亮度；支持超速信息发布、预警信息发布；</w:t>
      </w:r>
    </w:p>
    <w:p w14:paraId="292FD58D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01E3D03D">
      <w:pPr>
        <w:spacing w:before="156" w:beforeLines="50" w:line="560" w:lineRule="exact"/>
        <w:ind w:left="420" w:left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</w:t>
      </w:r>
      <w:r>
        <w:rPr>
          <w:rFonts w:ascii="仿宋" w:hAnsi="仿宋" w:eastAsia="仿宋" w:cs="仿宋"/>
          <w:b/>
          <w:sz w:val="32"/>
          <w:szCs w:val="32"/>
        </w:rPr>
        <w:t>.2</w:t>
      </w:r>
      <w:r>
        <w:rPr>
          <w:rFonts w:hint="eastAsia" w:ascii="仿宋" w:hAnsi="仿宋" w:eastAsia="仿宋" w:cs="仿宋"/>
          <w:b/>
          <w:sz w:val="32"/>
          <w:szCs w:val="32"/>
        </w:rPr>
        <w:t>数据存储主机</w:t>
      </w:r>
    </w:p>
    <w:p w14:paraId="2DF5ED3B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</w:t>
      </w:r>
      <w:r>
        <w:rPr>
          <w:rFonts w:ascii="仿宋" w:hAnsi="仿宋" w:eastAsia="仿宋" w:cs="仿宋"/>
          <w:b/>
          <w:sz w:val="32"/>
          <w:szCs w:val="32"/>
        </w:rPr>
        <w:t xml:space="preserve">.2.1  </w:t>
      </w:r>
      <w:r>
        <w:rPr>
          <w:rFonts w:hint="eastAsia" w:ascii="仿宋" w:hAnsi="仿宋" w:eastAsia="仿宋" w:cs="仿宋"/>
          <w:bCs/>
          <w:sz w:val="32"/>
          <w:szCs w:val="32"/>
        </w:rPr>
        <w:t>支持最大接入不少于12路雷视测速终端接入；</w:t>
      </w:r>
    </w:p>
    <w:p w14:paraId="5692174A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5205B844">
      <w:pPr>
        <w:spacing w:before="156" w:beforeLines="50" w:line="560" w:lineRule="exact"/>
        <w:ind w:left="420" w:left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</w:t>
      </w:r>
      <w:r>
        <w:rPr>
          <w:rFonts w:ascii="仿宋" w:hAnsi="仿宋" w:eastAsia="仿宋" w:cs="仿宋"/>
          <w:b/>
          <w:sz w:val="32"/>
          <w:szCs w:val="32"/>
        </w:rPr>
        <w:t>.3</w:t>
      </w:r>
      <w:r>
        <w:rPr>
          <w:rFonts w:hint="eastAsia" w:ascii="仿宋" w:hAnsi="仿宋" w:eastAsia="仿宋" w:cs="仿宋"/>
          <w:b/>
          <w:sz w:val="32"/>
          <w:szCs w:val="32"/>
        </w:rPr>
        <w:t>校园车辆测速管理平台</w:t>
      </w:r>
    </w:p>
    <w:p w14:paraId="1AECBD95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</w:t>
      </w:r>
      <w:r>
        <w:rPr>
          <w:rFonts w:ascii="仿宋" w:hAnsi="仿宋" w:eastAsia="仿宋" w:cs="仿宋"/>
          <w:b/>
          <w:sz w:val="32"/>
          <w:szCs w:val="32"/>
        </w:rPr>
        <w:t xml:space="preserve">.3.1  </w:t>
      </w:r>
      <w:r>
        <w:rPr>
          <w:rFonts w:hint="eastAsia" w:ascii="仿宋" w:hAnsi="仿宋" w:eastAsia="仿宋" w:cs="仿宋"/>
          <w:bCs/>
          <w:sz w:val="32"/>
          <w:szCs w:val="32"/>
        </w:rPr>
        <w:t>支持多维度车辆监管，既能实时采集单个点位车辆通行信息，精准记录超速车辆的车牌、速度及实时时间，也支持车辆黑白名单管理与布防预警；</w:t>
      </w:r>
    </w:p>
    <w:p w14:paraId="79561785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79D22B0F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</w:t>
      </w:r>
      <w:r>
        <w:rPr>
          <w:rFonts w:ascii="仿宋" w:hAnsi="仿宋" w:eastAsia="仿宋" w:cs="仿宋"/>
          <w:b/>
          <w:sz w:val="32"/>
          <w:szCs w:val="32"/>
        </w:rPr>
        <w:t xml:space="preserve">.3.2  </w:t>
      </w:r>
      <w:r>
        <w:rPr>
          <w:rFonts w:hint="eastAsia" w:ascii="仿宋" w:hAnsi="仿宋" w:eastAsia="仿宋" w:cs="仿宋"/>
          <w:bCs/>
          <w:sz w:val="32"/>
          <w:szCs w:val="32"/>
        </w:rPr>
        <w:t>支持卡口过车、超速、黑名单信息查询功能，能统计卡口过车流量与违规事件，追溯车辆通行路线，并提供卡口抓拍点视频预览及回放服务；</w:t>
      </w:r>
    </w:p>
    <w:p w14:paraId="106B1510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536CEFE0">
      <w:pPr>
        <w:spacing w:before="156" w:beforeLines="50" w:line="560" w:lineRule="exact"/>
        <w:ind w:left="420" w:left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</w:t>
      </w:r>
      <w:r>
        <w:rPr>
          <w:rFonts w:ascii="仿宋" w:hAnsi="仿宋" w:eastAsia="仿宋" w:cs="仿宋"/>
          <w:b/>
          <w:sz w:val="32"/>
          <w:szCs w:val="32"/>
        </w:rPr>
        <w:t>.4</w:t>
      </w:r>
      <w:r>
        <w:rPr>
          <w:rFonts w:hint="eastAsia" w:ascii="仿宋" w:hAnsi="仿宋" w:eastAsia="仿宋" w:cs="仿宋"/>
          <w:b/>
          <w:sz w:val="32"/>
          <w:szCs w:val="32"/>
        </w:rPr>
        <w:t>车辆道闸云平台功能升级</w:t>
      </w:r>
    </w:p>
    <w:p w14:paraId="50088C0E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</w:t>
      </w:r>
      <w:r>
        <w:rPr>
          <w:rFonts w:ascii="仿宋" w:hAnsi="仿宋" w:eastAsia="仿宋" w:cs="仿宋"/>
          <w:b/>
          <w:sz w:val="32"/>
          <w:szCs w:val="32"/>
        </w:rPr>
        <w:t xml:space="preserve">.4.1  </w:t>
      </w:r>
      <w:r>
        <w:rPr>
          <w:rFonts w:hint="eastAsia" w:ascii="仿宋" w:hAnsi="仿宋" w:eastAsia="仿宋" w:cs="仿宋"/>
          <w:bCs/>
          <w:sz w:val="32"/>
          <w:szCs w:val="32"/>
        </w:rPr>
        <w:t>要求车辆测速管理平台支持推送超速车牌数据至车辆道闸云平台，车辆道闸云平台针对超速车辆对应手机号自动发送超速预警短信，短信内容根据校方要求调整，支持将设定次数内的超速车牌加入黑名单禁止通行；投标人自行考察现场，本次投标报价需包含所有必要的对接开发费用，后期不做增加。投标文件中需提供投标人承诺函。</w:t>
      </w:r>
    </w:p>
    <w:p w14:paraId="7B443B34">
      <w:pPr>
        <w:spacing w:line="560" w:lineRule="exact"/>
        <w:ind w:left="420" w:left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356689F8">
      <w:pPr>
        <w:numPr>
          <w:ilvl w:val="0"/>
          <w:numId w:val="2"/>
        </w:numPr>
        <w:spacing w:before="156" w:beforeLines="50" w:line="560" w:lineRule="exact"/>
        <w:ind w:left="420" w:left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主要参数</w:t>
      </w:r>
    </w:p>
    <w:p w14:paraId="659C0F0F">
      <w:pPr>
        <w:spacing w:before="156" w:beforeLines="50" w:line="560" w:lineRule="exact"/>
        <w:ind w:left="420" w:left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>.1</w:t>
      </w:r>
      <w:r>
        <w:rPr>
          <w:rFonts w:hint="eastAsia" w:ascii="仿宋" w:hAnsi="仿宋" w:eastAsia="仿宋" w:cs="仿宋"/>
          <w:b/>
          <w:sz w:val="32"/>
          <w:szCs w:val="32"/>
        </w:rPr>
        <w:t>雷视测速预警一体机</w:t>
      </w:r>
    </w:p>
    <w:p w14:paraId="28B6C4E3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 xml:space="preserve">.1.1  </w:t>
      </w:r>
      <w:r>
        <w:rPr>
          <w:rFonts w:hint="eastAsia" w:ascii="仿宋" w:hAnsi="仿宋" w:eastAsia="仿宋" w:cs="仿宋"/>
          <w:bCs/>
          <w:sz w:val="32"/>
          <w:szCs w:val="32"/>
        </w:rPr>
        <w:t>设备应支持NTP客户端功能，可通过配置指定NTP服务器IP地址等，主动向时间服务器发起时间同步请求，实现系统时间自动校准；</w:t>
      </w:r>
    </w:p>
    <w:p w14:paraId="36CAF8AB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4E86F50D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 xml:space="preserve">.1.2  </w:t>
      </w:r>
      <w:r>
        <w:rPr>
          <w:rFonts w:hint="eastAsia" w:ascii="仿宋" w:hAnsi="仿宋" w:eastAsia="仿宋" w:cs="仿宋"/>
          <w:bCs/>
          <w:sz w:val="32"/>
          <w:szCs w:val="32"/>
        </w:rPr>
        <w:t>车辆捕获率≥95％，车牌识别率95％；车牌识别准确率≥95％，具有车标识别功能；</w:t>
      </w:r>
    </w:p>
    <w:p w14:paraId="4640293B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3E3BA03F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 xml:space="preserve">.1.3  </w:t>
      </w:r>
      <w:r>
        <w:rPr>
          <w:rFonts w:hint="eastAsia" w:ascii="仿宋" w:hAnsi="仿宋" w:eastAsia="仿宋" w:cs="仿宋"/>
          <w:bCs/>
          <w:sz w:val="32"/>
          <w:szCs w:val="32"/>
        </w:rPr>
        <w:t>支持对蓝牌、黑牌、黄牌、白牌、绿牌、黄绿双色、渐变绿等车牌进行识别；</w:t>
      </w:r>
    </w:p>
    <w:p w14:paraId="7267A6D2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72F6FF01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 xml:space="preserve">.1.4  </w:t>
      </w:r>
      <w:r>
        <w:rPr>
          <w:rFonts w:hint="eastAsia" w:ascii="仿宋" w:hAnsi="仿宋" w:eastAsia="仿宋" w:cs="仿宋"/>
          <w:bCs/>
          <w:sz w:val="32"/>
          <w:szCs w:val="32"/>
        </w:rPr>
        <w:t>目标速度测量值与实际速度值相差小于±0.1km／h，目标距离测量值与实际距离值相差小于±0.2m；</w:t>
      </w:r>
    </w:p>
    <w:p w14:paraId="5E683B94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67B3DA23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 xml:space="preserve">.1.5  </w:t>
      </w:r>
      <w:r>
        <w:rPr>
          <w:rFonts w:hint="eastAsia" w:ascii="仿宋" w:hAnsi="仿宋" w:eastAsia="仿宋" w:cs="仿宋"/>
          <w:bCs/>
          <w:sz w:val="32"/>
          <w:szCs w:val="32"/>
        </w:rPr>
        <w:t>为体现人所投产品设备制造商在数据信息安全管理方面的能力，能够提供ISO 27001、ISO 27017、ISO 27018、ISO 27701信息安全管理体系证书至少3项。</w:t>
      </w:r>
    </w:p>
    <w:p w14:paraId="3BB31ECD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6224D0B2">
      <w:pPr>
        <w:spacing w:before="156" w:beforeLines="50" w:line="560" w:lineRule="exact"/>
        <w:ind w:left="420" w:left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>.2</w:t>
      </w:r>
      <w:r>
        <w:rPr>
          <w:rFonts w:hint="eastAsia" w:ascii="仿宋" w:hAnsi="仿宋" w:eastAsia="仿宋" w:cs="仿宋"/>
          <w:b/>
          <w:sz w:val="32"/>
          <w:szCs w:val="32"/>
        </w:rPr>
        <w:t>数据存储主机</w:t>
      </w:r>
    </w:p>
    <w:p w14:paraId="2C47C438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 xml:space="preserve">.2.1  </w:t>
      </w:r>
      <w:r>
        <w:rPr>
          <w:rFonts w:hint="eastAsia" w:ascii="仿宋" w:hAnsi="仿宋" w:eastAsia="仿宋" w:cs="仿宋"/>
          <w:bCs/>
          <w:sz w:val="32"/>
          <w:szCs w:val="32"/>
        </w:rPr>
        <w:t>支持接入不少于4块3.5寸或2.5寸SATA硬盘；</w:t>
      </w:r>
    </w:p>
    <w:p w14:paraId="2B9C58D5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6B7EFDF1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 xml:space="preserve">.2.2  </w:t>
      </w:r>
      <w:r>
        <w:rPr>
          <w:rFonts w:hint="eastAsia" w:ascii="仿宋" w:hAnsi="仿宋" w:eastAsia="仿宋" w:cs="仿宋"/>
          <w:bCs/>
          <w:sz w:val="32"/>
          <w:szCs w:val="32"/>
        </w:rPr>
        <w:t>支持抓拍车牌信息及车速信息上传；</w:t>
      </w:r>
    </w:p>
    <w:p w14:paraId="0AB33587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302303CA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 xml:space="preserve">.2.3  </w:t>
      </w:r>
      <w:r>
        <w:rPr>
          <w:rFonts w:hint="eastAsia" w:ascii="仿宋" w:hAnsi="仿宋" w:eastAsia="仿宋" w:cs="仿宋"/>
          <w:bCs/>
          <w:sz w:val="32"/>
          <w:szCs w:val="32"/>
        </w:rPr>
        <w:t>支持双网卡，可配置双网互连或双网隔离下双IP信息；支持IPv6组网；</w:t>
      </w:r>
    </w:p>
    <w:p w14:paraId="07B4189D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558CEF4E">
      <w:pPr>
        <w:spacing w:before="156" w:beforeLines="50" w:line="560" w:lineRule="exact"/>
        <w:ind w:left="420" w:left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>.3</w:t>
      </w:r>
      <w:r>
        <w:rPr>
          <w:rFonts w:hint="eastAsia" w:ascii="仿宋" w:hAnsi="仿宋" w:eastAsia="仿宋" w:cs="仿宋"/>
          <w:b/>
          <w:sz w:val="32"/>
          <w:szCs w:val="32"/>
        </w:rPr>
        <w:t>存储专用硬盘</w:t>
      </w:r>
    </w:p>
    <w:p w14:paraId="60C7B57A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 xml:space="preserve">.3.1  </w:t>
      </w:r>
      <w:r>
        <w:rPr>
          <w:rFonts w:hint="eastAsia" w:ascii="仿宋" w:hAnsi="仿宋" w:eastAsia="仿宋" w:cs="仿宋"/>
          <w:bCs/>
          <w:sz w:val="32"/>
          <w:szCs w:val="32"/>
        </w:rPr>
        <w:t>3.5英寸SATA接口，容量≥8TB；</w:t>
      </w:r>
    </w:p>
    <w:p w14:paraId="06FBFAB9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25847F86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 xml:space="preserve">.3.2  </w:t>
      </w:r>
      <w:r>
        <w:rPr>
          <w:rFonts w:hint="eastAsia" w:ascii="仿宋" w:hAnsi="仿宋" w:eastAsia="仿宋" w:cs="仿宋"/>
          <w:bCs/>
          <w:sz w:val="32"/>
          <w:szCs w:val="32"/>
        </w:rPr>
        <w:t>硬盘转速：≥5000转，缓存：≥256M；</w:t>
      </w:r>
    </w:p>
    <w:p w14:paraId="5411F06B">
      <w:pPr>
        <w:spacing w:line="560" w:lineRule="exact"/>
        <w:ind w:left="420" w:left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7C325541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 xml:space="preserve">.3.3  </w:t>
      </w:r>
      <w:r>
        <w:rPr>
          <w:rFonts w:hint="eastAsia" w:ascii="仿宋" w:hAnsi="仿宋" w:eastAsia="仿宋" w:cs="仿宋"/>
          <w:bCs/>
          <w:sz w:val="32"/>
          <w:szCs w:val="32"/>
        </w:rPr>
        <w:t>硬盘外部传输速率≥6Gb/s；</w:t>
      </w:r>
    </w:p>
    <w:p w14:paraId="0857B23F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12C41EC4">
      <w:pPr>
        <w:spacing w:before="156" w:beforeLines="50" w:line="560" w:lineRule="exact"/>
        <w:ind w:left="420" w:left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>.4</w:t>
      </w:r>
      <w:r>
        <w:rPr>
          <w:rFonts w:hint="eastAsia" w:ascii="仿宋" w:hAnsi="仿宋" w:eastAsia="仿宋" w:cs="仿宋"/>
          <w:b/>
          <w:sz w:val="32"/>
          <w:szCs w:val="32"/>
        </w:rPr>
        <w:t>校园车辆测速管理平台</w:t>
      </w:r>
    </w:p>
    <w:p w14:paraId="3A0CCF81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>.4.1</w:t>
      </w:r>
      <w:r>
        <w:rPr>
          <w:rFonts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CPU：≥8核16线程，主频≥3.0GHz；</w:t>
      </w:r>
    </w:p>
    <w:p w14:paraId="5FF312AE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37A182E6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 xml:space="preserve">.4.2 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内存：≥64G；</w:t>
      </w:r>
    </w:p>
    <w:p w14:paraId="7BDC12F1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260B42CF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>.4.3</w:t>
      </w:r>
      <w:r>
        <w:rPr>
          <w:rFonts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支持分时段通行限速管控，可针对上下学高峰时段、夜间时段等，配置不同的限速策略与监测强度，适配校园不同时段的交通流量特点；</w:t>
      </w:r>
    </w:p>
    <w:p w14:paraId="6C8AFAFB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6A8F98B3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>.4.4</w:t>
      </w:r>
      <w:r>
        <w:rPr>
          <w:rFonts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支持违规记录归档，长期保存历史违规数据，满足校园安全管理追溯与检查需求；</w:t>
      </w:r>
    </w:p>
    <w:p w14:paraId="1325B28C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3D789BF9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>.4.5</w:t>
      </w:r>
      <w:r>
        <w:rPr>
          <w:rFonts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支持展示校园测速点位分布、今日通行车辆总数、超速违规次数、各区域限速执行情况、设备在线状态等核心指标；</w:t>
      </w:r>
    </w:p>
    <w:p w14:paraId="2B791E38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0107F702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>.4.6</w:t>
      </w:r>
      <w:r>
        <w:rPr>
          <w:rFonts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支持按时间维度统计：生成日、周、月、年度的车辆通行量、超速违规数量、各时段交通流量趋势报表；支持按区域维度统计：分析各校区、各路段的车辆流速，对比不同区域的交通管控效果；</w:t>
      </w:r>
    </w:p>
    <w:p w14:paraId="2960F5D1">
      <w:pPr>
        <w:spacing w:line="560" w:lineRule="exact"/>
        <w:ind w:left="420" w:left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5B0A391B">
      <w:pPr>
        <w:spacing w:line="56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（三）投标人资信</w:t>
      </w:r>
    </w:p>
    <w:p w14:paraId="2E34656E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1.投标人具有电子与智能化工程专业承包壹级证书的；</w:t>
      </w:r>
    </w:p>
    <w:p w14:paraId="75C33A05">
      <w:pPr>
        <w:spacing w:line="560" w:lineRule="exact"/>
        <w:ind w:left="420" w:left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5F369CB4">
      <w:pPr>
        <w:spacing w:line="560" w:lineRule="exact"/>
        <w:ind w:left="420" w:left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</w:t>
      </w:r>
      <w:r>
        <w:rPr>
          <w:rFonts w:hint="eastAsia" w:ascii="仿宋" w:hAnsi="仿宋" w:eastAsia="仿宋" w:cs="仿宋"/>
          <w:bCs/>
          <w:sz w:val="32"/>
          <w:szCs w:val="32"/>
        </w:rPr>
        <w:t>技术负责人具有自动化专业或机电专业中级工程师；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1EF6FEBD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</w:t>
      </w:r>
      <w:r>
        <w:rPr>
          <w:rFonts w:hint="eastAsia" w:ascii="仿宋" w:hAnsi="仿宋" w:eastAsia="仿宋" w:cs="仿宋"/>
          <w:bCs/>
          <w:sz w:val="32"/>
          <w:szCs w:val="32"/>
        </w:rPr>
        <w:t>具有智能建筑弱电系统项目管理师或智能化系统集成项目经理证书；（投标时提供证明文件）；</w:t>
      </w:r>
    </w:p>
    <w:p w14:paraId="575F0ADF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5BAD0525">
      <w:pPr>
        <w:spacing w:line="560" w:lineRule="exact"/>
        <w:ind w:left="420" w:left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</w:t>
      </w:r>
      <w:r>
        <w:rPr>
          <w:rFonts w:hint="eastAsia" w:ascii="仿宋" w:hAnsi="仿宋" w:eastAsia="仿宋" w:cs="仿宋"/>
          <w:bCs/>
          <w:sz w:val="32"/>
          <w:szCs w:val="32"/>
        </w:rPr>
        <w:t>项目团队具有不低于1人的售后服务人员，投标时提供售后服务人员的二级建造师往册证书证书的；</w:t>
      </w:r>
    </w:p>
    <w:p w14:paraId="462D1E88">
      <w:pPr>
        <w:spacing w:line="560" w:lineRule="exact"/>
        <w:ind w:left="420" w:left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满足  </w:t>
      </w:r>
      <w:r>
        <w:rPr>
          <w:rFonts w:hint="eastAsia" w:ascii="仿宋" w:hAnsi="仿宋" w:eastAsia="仿宋" w:cs="仿宋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bCs/>
          <w:sz w:val="32"/>
          <w:szCs w:val="32"/>
        </w:rPr>
        <w:t>不满足</w:t>
      </w:r>
    </w:p>
    <w:p w14:paraId="3FBC2944">
      <w:pPr>
        <w:spacing w:line="560" w:lineRule="exact"/>
        <w:jc w:val="right"/>
        <w:rPr>
          <w:rFonts w:hint="eastAsia" w:ascii="仿宋" w:hAnsi="仿宋" w:eastAsia="仿宋" w:cs="仿宋"/>
          <w:bCs/>
          <w:sz w:val="32"/>
          <w:szCs w:val="32"/>
        </w:rPr>
      </w:pPr>
    </w:p>
    <w:p w14:paraId="7B9429E9">
      <w:pPr>
        <w:spacing w:line="560" w:lineRule="exact"/>
        <w:jc w:val="right"/>
        <w:rPr>
          <w:rFonts w:hint="eastAsia" w:ascii="仿宋" w:hAnsi="仿宋" w:eastAsia="仿宋" w:cs="仿宋"/>
          <w:bCs/>
          <w:sz w:val="32"/>
          <w:szCs w:val="32"/>
        </w:rPr>
      </w:pPr>
    </w:p>
    <w:p w14:paraId="46EBC499">
      <w:pPr>
        <w:spacing w:line="560" w:lineRule="exact"/>
        <w:jc w:val="right"/>
        <w:rPr>
          <w:rFonts w:hint="eastAsia" w:ascii="仿宋" w:hAnsi="仿宋" w:eastAsia="仿宋" w:cs="仿宋"/>
          <w:bCs/>
          <w:sz w:val="32"/>
          <w:szCs w:val="32"/>
        </w:rPr>
      </w:pPr>
    </w:p>
    <w:p w14:paraId="7AB9DE93">
      <w:pPr>
        <w:spacing w:line="560" w:lineRule="exact"/>
        <w:jc w:val="right"/>
        <w:rPr>
          <w:rFonts w:hint="eastAsia" w:ascii="仿宋" w:hAnsi="仿宋" w:eastAsia="仿宋" w:cs="仿宋"/>
          <w:bCs/>
          <w:sz w:val="32"/>
          <w:szCs w:val="32"/>
        </w:rPr>
      </w:pPr>
    </w:p>
    <w:p w14:paraId="44224ED0">
      <w:pPr>
        <w:spacing w:line="560" w:lineRule="exact"/>
        <w:jc w:val="right"/>
        <w:rPr>
          <w:rFonts w:hint="eastAsia" w:ascii="仿宋" w:hAnsi="仿宋" w:eastAsia="仿宋" w:cs="仿宋"/>
          <w:bCs/>
          <w:sz w:val="32"/>
          <w:szCs w:val="32"/>
        </w:rPr>
      </w:pPr>
    </w:p>
    <w:p w14:paraId="030C4133">
      <w:pPr>
        <w:spacing w:line="560" w:lineRule="exact"/>
        <w:jc w:val="right"/>
        <w:rPr>
          <w:rFonts w:hint="eastAsia" w:ascii="仿宋" w:hAnsi="仿宋" w:eastAsia="仿宋" w:cs="仿宋"/>
          <w:bCs/>
          <w:sz w:val="32"/>
          <w:szCs w:val="32"/>
        </w:rPr>
      </w:pPr>
    </w:p>
    <w:p w14:paraId="06CFC89D">
      <w:pPr>
        <w:spacing w:line="56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品牌供应商名称（公章）</w:t>
      </w:r>
    </w:p>
    <w:p w14:paraId="60E752C6">
      <w:pPr>
        <w:spacing w:line="560" w:lineRule="exact"/>
        <w:jc w:val="center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                  年    月    日</w:t>
      </w:r>
    </w:p>
    <w:p w14:paraId="508B30B8">
      <w:pPr>
        <w:spacing w:line="560" w:lineRule="exact"/>
        <w:ind w:left="420" w:leftChars="200"/>
        <w:rPr>
          <w:rFonts w:ascii="仿宋" w:hAnsi="仿宋" w:eastAsia="仿宋" w:cs="仿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77BBFA7-ACEF-4B12-A9F2-1B615AE845C2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2" w:fontKey="{3B2ECC90-A63F-4A3A-8F8F-F4197AEFC13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379C7F40-585F-46E7-89E7-3CD6F50F5E5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AD27A9"/>
    <w:multiLevelType w:val="singleLevel"/>
    <w:tmpl w:val="DCAD27A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1F5B1F"/>
    <w:multiLevelType w:val="multilevel"/>
    <w:tmpl w:val="251F5B1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E6D43"/>
    <w:rsid w:val="001B7418"/>
    <w:rsid w:val="00326DAB"/>
    <w:rsid w:val="003278C9"/>
    <w:rsid w:val="007B60F4"/>
    <w:rsid w:val="00846593"/>
    <w:rsid w:val="00982487"/>
    <w:rsid w:val="00AC5A82"/>
    <w:rsid w:val="00DD1320"/>
    <w:rsid w:val="00FA11FB"/>
    <w:rsid w:val="02CE5A89"/>
    <w:rsid w:val="080E352C"/>
    <w:rsid w:val="104A521E"/>
    <w:rsid w:val="130152C1"/>
    <w:rsid w:val="168E3310"/>
    <w:rsid w:val="2EF41EAA"/>
    <w:rsid w:val="373175BA"/>
    <w:rsid w:val="3A8813EE"/>
    <w:rsid w:val="3EBE6D43"/>
    <w:rsid w:val="4802059D"/>
    <w:rsid w:val="4A1D6880"/>
    <w:rsid w:val="5DCE4E2D"/>
    <w:rsid w:val="65CC62CA"/>
    <w:rsid w:val="662B6E77"/>
    <w:rsid w:val="67385123"/>
    <w:rsid w:val="74726458"/>
    <w:rsid w:val="7DE305FC"/>
    <w:rsid w:val="7EC5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2012</Words>
  <Characters>2269</Characters>
  <Lines>19</Lines>
  <Paragraphs>5</Paragraphs>
  <TotalTime>3</TotalTime>
  <ScaleCrop>false</ScaleCrop>
  <LinksUpToDate>false</LinksUpToDate>
  <CharactersWithSpaces>2436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2026-01-29T10:05:00Z</dcterms:created>
  <dc:creator>叶禹成</dc:creator>
  <cp:lastModifiedBy>123</cp:lastModifiedBy>
  <cp:lastPrinted>2026-01-30T01:08:00Z</cp:lastPrinted>
  <dcterms:modified xsi:type="dcterms:W3CDTF">2026-01-30T01:26:16Z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C36A7310F9FE4BE892E173021378A266_13</vt:lpwstr>
  </property>
  <property fmtid="{D5CDD505-2E9C-101B-9397-08002B2CF9AE}" pid="4" name="KSOTemplateDocerSaveRecord">
    <vt:lpwstr>eyJoZGlkIjoiOWFkODE1ZjY4ZjNiN2FjYjdlMTc1ZjU0NGM0ODE0YTEiLCJ1c2VySWQiOiIxMjIwNTIzNTI3In0=</vt:lpwstr>
  </property>
</Properties>
</file>