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宿舍文明创建月综评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一览表</w:t>
      </w:r>
    </w:p>
    <w:tbl>
      <w:tblPr>
        <w:tblStyle w:val="3"/>
        <w:tblpPr w:leftFromText="180" w:rightFromText="180" w:vertAnchor="text" w:horzAnchor="page" w:tblpX="2214" w:tblpY="6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10"/>
        <w:gridCol w:w="1191"/>
        <w:gridCol w:w="1086"/>
        <w:gridCol w:w="1381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学院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优秀宿舍</w:t>
            </w:r>
          </w:p>
        </w:tc>
        <w:tc>
          <w:tcPr>
            <w:tcW w:w="11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较差宿舍</w:t>
            </w: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总宿舍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优秀率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较差率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土木学院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101</w:t>
            </w: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0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38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1.17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%</w:t>
            </w: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建规学院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8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17.84%</w:t>
            </w: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环能学院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10.20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%</w:t>
            </w: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经管学院（北）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38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%</w:t>
            </w:r>
          </w:p>
        </w:tc>
        <w:tc>
          <w:tcPr>
            <w:tcW w:w="1533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经管学院（南）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81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533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电信学院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38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17.21%</w:t>
            </w: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材化学院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31.69%</w:t>
            </w: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数理学院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25.37%</w:t>
            </w: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4.64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%</w:t>
            </w: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17.37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%</w:t>
            </w: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机电学院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21.6%</w:t>
            </w: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公共学院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28.82%</w:t>
            </w: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总计</w:t>
            </w:r>
          </w:p>
        </w:tc>
        <w:tc>
          <w:tcPr>
            <w:tcW w:w="1410" w:type="dxa"/>
          </w:tcPr>
          <w:p>
            <w:pPr>
              <w:ind w:firstLine="360" w:firstLineChars="15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719</w:t>
            </w:r>
          </w:p>
        </w:tc>
        <w:tc>
          <w:tcPr>
            <w:tcW w:w="11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360" w:firstLineChars="15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3409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1.09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  <w:t>%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%</w:t>
            </w: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1927C"/>
    <w:rsid w:val="422A56F7"/>
    <w:rsid w:val="4D2D02D6"/>
    <w:rsid w:val="6F619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2021-05-17T20:38:00Z</dcterms:created>
  <dc:creator>hupo</dc:creator>
  <cp:lastModifiedBy>逝去青春的陀螺</cp:lastModifiedBy>
  <dcterms:modified xsi:type="dcterms:W3CDTF">2021-05-20T01:48:56Z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E2AE1588879B4664A5689909CA0DDF46</vt:lpwstr>
  </property>
</Properties>
</file>