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B4F16B">
      <w:pPr>
        <w:spacing w:line="560" w:lineRule="exact"/>
        <w:jc w:val="left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附件2</w:t>
      </w:r>
    </w:p>
    <w:p w14:paraId="6CFD3DF2">
      <w:pPr>
        <w:spacing w:line="560" w:lineRule="exact"/>
        <w:jc w:val="center"/>
        <w:rPr>
          <w:rFonts w:hint="eastAsia" w:ascii="宋体" w:hAnsi="宋体" w:cs="宋体"/>
          <w:sz w:val="44"/>
          <w:szCs w:val="44"/>
        </w:rPr>
      </w:pPr>
      <w:bookmarkStart w:id="0" w:name="_GoBack"/>
      <w:r>
        <w:rPr>
          <w:rFonts w:hint="eastAsia" w:ascii="宋体" w:hAnsi="宋体" w:cs="宋体"/>
          <w:sz w:val="44"/>
          <w:szCs w:val="44"/>
        </w:rPr>
        <w:t>2026年秋冬季校园消防隐患校</w:t>
      </w:r>
      <w:bookmarkEnd w:id="0"/>
      <w:r>
        <w:rPr>
          <w:rFonts w:hint="eastAsia" w:ascii="宋体" w:hAnsi="宋体" w:cs="宋体"/>
          <w:sz w:val="44"/>
          <w:szCs w:val="44"/>
        </w:rPr>
        <w:t>级检查分组表</w:t>
      </w:r>
    </w:p>
    <w:tbl>
      <w:tblPr>
        <w:tblStyle w:val="2"/>
        <w:tblpPr w:leftFromText="180" w:rightFromText="180" w:vertAnchor="text" w:tblpY="1"/>
        <w:tblOverlap w:val="never"/>
        <w:tblW w:w="135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827"/>
        <w:gridCol w:w="3402"/>
        <w:gridCol w:w="4678"/>
      </w:tblGrid>
      <w:tr w14:paraId="209CC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668" w:type="dxa"/>
            <w:noWrap w:val="0"/>
            <w:vAlign w:val="center"/>
          </w:tcPr>
          <w:p w14:paraId="01E56E45">
            <w:pPr>
              <w:spacing w:line="460" w:lineRule="exact"/>
              <w:jc w:val="center"/>
              <w:rPr>
                <w:rFonts w:ascii="仿宋_GB2312" w:hAnsi="宋体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sz w:val="32"/>
                <w:szCs w:val="32"/>
              </w:rPr>
              <w:t>组别</w:t>
            </w:r>
          </w:p>
        </w:tc>
        <w:tc>
          <w:tcPr>
            <w:tcW w:w="3827" w:type="dxa"/>
            <w:noWrap w:val="0"/>
            <w:vAlign w:val="center"/>
          </w:tcPr>
          <w:p w14:paraId="171B2BFA">
            <w:pPr>
              <w:spacing w:line="460" w:lineRule="exact"/>
              <w:jc w:val="center"/>
              <w:rPr>
                <w:rFonts w:ascii="仿宋_GB2312" w:hAnsi="宋体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sz w:val="32"/>
                <w:szCs w:val="32"/>
              </w:rPr>
              <w:t>带队</w:t>
            </w:r>
          </w:p>
        </w:tc>
        <w:tc>
          <w:tcPr>
            <w:tcW w:w="3402" w:type="dxa"/>
            <w:noWrap w:val="0"/>
            <w:vAlign w:val="center"/>
          </w:tcPr>
          <w:p w14:paraId="040BFF6C">
            <w:pPr>
              <w:spacing w:line="460" w:lineRule="exact"/>
              <w:jc w:val="center"/>
              <w:rPr>
                <w:rFonts w:ascii="仿宋_GB2312" w:hAnsi="宋体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sz w:val="32"/>
                <w:szCs w:val="32"/>
              </w:rPr>
              <w:t>参加部门</w:t>
            </w:r>
          </w:p>
        </w:tc>
        <w:tc>
          <w:tcPr>
            <w:tcW w:w="4678" w:type="dxa"/>
            <w:noWrap w:val="0"/>
            <w:vAlign w:val="center"/>
          </w:tcPr>
          <w:p w14:paraId="35E96283">
            <w:pPr>
              <w:spacing w:line="460" w:lineRule="exact"/>
              <w:jc w:val="center"/>
              <w:rPr>
                <w:rFonts w:ascii="仿宋_GB2312" w:hAnsi="宋体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sz w:val="32"/>
                <w:szCs w:val="32"/>
              </w:rPr>
              <w:t>检查范围</w:t>
            </w:r>
          </w:p>
        </w:tc>
      </w:tr>
      <w:tr w14:paraId="19E4B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</w:trPr>
        <w:tc>
          <w:tcPr>
            <w:tcW w:w="1668" w:type="dxa"/>
            <w:noWrap w:val="0"/>
            <w:vAlign w:val="center"/>
          </w:tcPr>
          <w:p w14:paraId="0496AF9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第一组</w:t>
            </w:r>
          </w:p>
        </w:tc>
        <w:tc>
          <w:tcPr>
            <w:tcW w:w="3827" w:type="dxa"/>
            <w:noWrap w:val="0"/>
            <w:vAlign w:val="center"/>
          </w:tcPr>
          <w:p w14:paraId="798E5CA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国有资产管理处：葛立新</w:t>
            </w:r>
          </w:p>
        </w:tc>
        <w:tc>
          <w:tcPr>
            <w:tcW w:w="3402" w:type="dxa"/>
            <w:noWrap w:val="0"/>
            <w:vAlign w:val="center"/>
          </w:tcPr>
          <w:p w14:paraId="10F34CB4">
            <w:pPr>
              <w:spacing w:line="320" w:lineRule="exact"/>
              <w:ind w:firstLine="600" w:firstLineChars="200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保卫处：刘培</w:t>
            </w:r>
          </w:p>
          <w:p w14:paraId="57D233B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后勤管理处：姜世贵</w:t>
            </w:r>
          </w:p>
        </w:tc>
        <w:tc>
          <w:tcPr>
            <w:tcW w:w="4678" w:type="dxa"/>
            <w:noWrap w:val="0"/>
            <w:vAlign w:val="center"/>
          </w:tcPr>
          <w:p w14:paraId="4E704AF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紫云路校区：实验室、研究生工作室、图书馆、地下车库、办公楼宇</w:t>
            </w:r>
          </w:p>
        </w:tc>
      </w:tr>
      <w:tr w14:paraId="48C88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1668" w:type="dxa"/>
            <w:noWrap w:val="0"/>
            <w:vAlign w:val="center"/>
          </w:tcPr>
          <w:p w14:paraId="5BF9557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第二组</w:t>
            </w:r>
          </w:p>
        </w:tc>
        <w:tc>
          <w:tcPr>
            <w:tcW w:w="3827" w:type="dxa"/>
            <w:noWrap w:val="0"/>
            <w:vAlign w:val="center"/>
          </w:tcPr>
          <w:p w14:paraId="746E0F1F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保卫处：王凯</w:t>
            </w:r>
          </w:p>
        </w:tc>
        <w:tc>
          <w:tcPr>
            <w:tcW w:w="3402" w:type="dxa"/>
            <w:noWrap w:val="0"/>
            <w:vAlign w:val="center"/>
          </w:tcPr>
          <w:p w14:paraId="6FB5B619">
            <w:pPr>
              <w:spacing w:line="32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国有资产管理处：陈海燕</w:t>
            </w:r>
          </w:p>
          <w:p w14:paraId="2077F73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后勤基建处：杨兵</w:t>
            </w:r>
          </w:p>
        </w:tc>
        <w:tc>
          <w:tcPr>
            <w:tcW w:w="4678" w:type="dxa"/>
            <w:noWrap w:val="0"/>
            <w:vAlign w:val="center"/>
          </w:tcPr>
          <w:p w14:paraId="72BCED40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金寨路校区</w:t>
            </w:r>
          </w:p>
        </w:tc>
      </w:tr>
      <w:tr w14:paraId="76AD8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1668" w:type="dxa"/>
            <w:noWrap w:val="0"/>
            <w:vAlign w:val="center"/>
          </w:tcPr>
          <w:p w14:paraId="67DD03B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第三组</w:t>
            </w:r>
          </w:p>
        </w:tc>
        <w:tc>
          <w:tcPr>
            <w:tcW w:w="3827" w:type="dxa"/>
            <w:noWrap w:val="0"/>
            <w:vAlign w:val="center"/>
          </w:tcPr>
          <w:p w14:paraId="5D74EB1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后勤管理处：韩小霞</w:t>
            </w:r>
          </w:p>
        </w:tc>
        <w:tc>
          <w:tcPr>
            <w:tcW w:w="3402" w:type="dxa"/>
            <w:noWrap w:val="0"/>
            <w:vAlign w:val="center"/>
          </w:tcPr>
          <w:p w14:paraId="28C096B0">
            <w:pPr>
              <w:spacing w:line="32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国有资产管理处：周平</w:t>
            </w:r>
          </w:p>
          <w:p w14:paraId="525D5B49">
            <w:pPr>
              <w:spacing w:line="320" w:lineRule="exact"/>
              <w:ind w:firstLine="300" w:firstLineChars="10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保卫处：丁辉</w:t>
            </w:r>
          </w:p>
        </w:tc>
        <w:tc>
          <w:tcPr>
            <w:tcW w:w="4678" w:type="dxa"/>
            <w:noWrap w:val="0"/>
            <w:vAlign w:val="center"/>
          </w:tcPr>
          <w:p w14:paraId="61115A4B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紫云路校区：学生宿舍、食堂、快递驿站、门面房、教室、基建施工场地</w:t>
            </w:r>
          </w:p>
        </w:tc>
      </w:tr>
    </w:tbl>
    <w:p w14:paraId="68CA3583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414906A">
      <w:pPr>
        <w:jc w:val="left"/>
        <w:rPr>
          <w:rFonts w:ascii="仿宋_GB2312" w:hAnsi="仿宋_GB2312" w:eastAsia="仿宋_GB2312" w:cs="仿宋_GB2312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 w14:paraId="689D0423">
      <w:pPr>
        <w:ind w:right="105" w:rightChars="50"/>
        <w:jc w:val="center"/>
        <w:rPr>
          <w:rFonts w:hint="eastAsia" w:ascii="仿宋_GB2312" w:hAnsi="仿宋_GB2312" w:eastAsia="仿宋_GB2312" w:cs="仿宋_GB2312"/>
          <w:bCs/>
          <w:w w:val="90"/>
          <w:sz w:val="44"/>
          <w:szCs w:val="44"/>
        </w:rPr>
      </w:pPr>
      <w:r>
        <w:rPr>
          <w:rFonts w:hint="eastAsia" w:ascii="仿宋_GB2312" w:hAnsi="仿宋_GB2312" w:eastAsia="仿宋_GB2312" w:cs="仿宋_GB2312"/>
          <w:bCs/>
          <w:w w:val="90"/>
          <w:sz w:val="44"/>
          <w:szCs w:val="44"/>
        </w:rPr>
        <w:t>2026年秋冬季校园消防隐患校级检查记录表</w:t>
      </w:r>
    </w:p>
    <w:p w14:paraId="2E97F357">
      <w:pPr>
        <w:spacing w:line="360" w:lineRule="auto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被检查部门（学院）名称： </w:t>
      </w:r>
      <w:r>
        <w:rPr>
          <w:rFonts w:ascii="仿宋_GB2312" w:hAnsi="宋体" w:eastAsia="仿宋_GB2312"/>
          <w:sz w:val="32"/>
          <w:szCs w:val="32"/>
        </w:rPr>
        <w:t xml:space="preserve">       </w:t>
      </w:r>
    </w:p>
    <w:tbl>
      <w:tblPr>
        <w:tblStyle w:val="2"/>
        <w:tblW w:w="8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0"/>
        <w:gridCol w:w="6707"/>
      </w:tblGrid>
      <w:tr w14:paraId="22E2D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2190" w:type="dxa"/>
            <w:noWrap w:val="0"/>
            <w:vAlign w:val="center"/>
          </w:tcPr>
          <w:p w14:paraId="42EAB6F9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隐患名称</w:t>
            </w:r>
          </w:p>
        </w:tc>
        <w:tc>
          <w:tcPr>
            <w:tcW w:w="6707" w:type="dxa"/>
            <w:noWrap w:val="0"/>
            <w:vAlign w:val="center"/>
          </w:tcPr>
          <w:p w14:paraId="4928C6E7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（多个隐患可单独填表或合并填写）</w:t>
            </w:r>
          </w:p>
        </w:tc>
      </w:tr>
      <w:tr w14:paraId="01D39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6" w:hRule="atLeast"/>
          <w:jc w:val="center"/>
        </w:trPr>
        <w:tc>
          <w:tcPr>
            <w:tcW w:w="2190" w:type="dxa"/>
            <w:noWrap w:val="0"/>
            <w:vAlign w:val="center"/>
          </w:tcPr>
          <w:p w14:paraId="5632B18A">
            <w:pPr>
              <w:spacing w:line="360" w:lineRule="auto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隐患具体情况</w:t>
            </w:r>
          </w:p>
          <w:p w14:paraId="789AE3CE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6707" w:type="dxa"/>
            <w:noWrap w:val="0"/>
            <w:vAlign w:val="center"/>
          </w:tcPr>
          <w:p w14:paraId="57F8356B">
            <w:pPr>
              <w:spacing w:line="500" w:lineRule="exact"/>
              <w:jc w:val="left"/>
              <w:rPr>
                <w:rFonts w:ascii="仿宋_GB2312" w:hAnsi="仿宋" w:eastAsia="仿宋_GB2312"/>
                <w:sz w:val="20"/>
                <w:szCs w:val="20"/>
              </w:rPr>
            </w:pPr>
            <w:r>
              <w:rPr>
                <w:rFonts w:hint="eastAsia" w:ascii="仿宋_GB2312" w:hAnsi="仿宋" w:eastAsia="仿宋_GB2312"/>
                <w:sz w:val="20"/>
                <w:szCs w:val="20"/>
              </w:rPr>
              <w:t>（隐患所在位置区域、数量、是否有应急措施等）</w:t>
            </w:r>
          </w:p>
          <w:p w14:paraId="6C26315B">
            <w:pPr>
              <w:rPr>
                <w:rFonts w:ascii="仿宋_GB2312" w:hAnsi="宋体" w:eastAsia="仿宋_GB2312"/>
                <w:sz w:val="24"/>
              </w:rPr>
            </w:pPr>
          </w:p>
          <w:p w14:paraId="0AE0BC8F">
            <w:pPr>
              <w:rPr>
                <w:rFonts w:ascii="仿宋_GB2312" w:hAnsi="宋体" w:eastAsia="仿宋_GB2312"/>
                <w:sz w:val="24"/>
              </w:rPr>
            </w:pPr>
          </w:p>
          <w:p w14:paraId="7AE90696">
            <w:pPr>
              <w:rPr>
                <w:rFonts w:ascii="仿宋_GB2312" w:hAnsi="宋体" w:eastAsia="仿宋_GB2312"/>
                <w:sz w:val="24"/>
              </w:rPr>
            </w:pPr>
          </w:p>
          <w:p w14:paraId="5691F087">
            <w:pPr>
              <w:rPr>
                <w:rFonts w:ascii="仿宋_GB2312" w:hAnsi="宋体" w:eastAsia="仿宋_GB2312"/>
                <w:sz w:val="24"/>
              </w:rPr>
            </w:pPr>
          </w:p>
          <w:p w14:paraId="5909F631">
            <w:pPr>
              <w:rPr>
                <w:rFonts w:ascii="仿宋_GB2312" w:hAnsi="宋体" w:eastAsia="仿宋_GB2312"/>
                <w:sz w:val="24"/>
              </w:rPr>
            </w:pPr>
          </w:p>
          <w:p w14:paraId="3B06C008">
            <w:pPr>
              <w:rPr>
                <w:rFonts w:ascii="仿宋_GB2312" w:hAnsi="宋体" w:eastAsia="仿宋_GB2312"/>
                <w:sz w:val="24"/>
              </w:rPr>
            </w:pPr>
          </w:p>
          <w:p w14:paraId="157486FD">
            <w:pPr>
              <w:rPr>
                <w:rFonts w:ascii="仿宋_GB2312" w:hAnsi="宋体" w:eastAsia="仿宋_GB2312"/>
                <w:sz w:val="24"/>
              </w:rPr>
            </w:pPr>
          </w:p>
          <w:p w14:paraId="3AC73060">
            <w:pPr>
              <w:rPr>
                <w:rFonts w:ascii="仿宋_GB2312" w:hAnsi="宋体" w:eastAsia="仿宋_GB2312"/>
                <w:sz w:val="24"/>
              </w:rPr>
            </w:pPr>
          </w:p>
          <w:p w14:paraId="1232883D">
            <w:pPr>
              <w:rPr>
                <w:rFonts w:ascii="仿宋_GB2312" w:hAnsi="宋体" w:eastAsia="仿宋_GB2312"/>
                <w:sz w:val="24"/>
              </w:rPr>
            </w:pPr>
          </w:p>
          <w:p w14:paraId="3FA4E774">
            <w:pPr>
              <w:rPr>
                <w:rFonts w:ascii="仿宋_GB2312" w:hAnsi="宋体" w:eastAsia="仿宋_GB2312"/>
                <w:sz w:val="24"/>
              </w:rPr>
            </w:pPr>
          </w:p>
          <w:p w14:paraId="72EF1A7A">
            <w:pPr>
              <w:rPr>
                <w:rFonts w:ascii="仿宋_GB2312" w:hAnsi="宋体" w:eastAsia="仿宋_GB2312"/>
                <w:sz w:val="24"/>
              </w:rPr>
            </w:pPr>
          </w:p>
          <w:p w14:paraId="4020503C">
            <w:pPr>
              <w:rPr>
                <w:rFonts w:ascii="仿宋_GB2312" w:hAnsi="宋体" w:eastAsia="仿宋_GB2312"/>
                <w:sz w:val="24"/>
              </w:rPr>
            </w:pPr>
          </w:p>
          <w:p w14:paraId="56FD0148">
            <w:pPr>
              <w:rPr>
                <w:rFonts w:ascii="仿宋_GB2312" w:hAnsi="宋体" w:eastAsia="仿宋_GB2312"/>
                <w:sz w:val="24"/>
              </w:rPr>
            </w:pPr>
          </w:p>
          <w:p w14:paraId="152E686B">
            <w:pPr>
              <w:rPr>
                <w:rFonts w:ascii="仿宋_GB2312" w:hAnsi="宋体" w:eastAsia="仿宋_GB2312"/>
                <w:sz w:val="24"/>
              </w:rPr>
            </w:pPr>
          </w:p>
          <w:p w14:paraId="47FABBCC">
            <w:pPr>
              <w:rPr>
                <w:rFonts w:ascii="仿宋_GB2312" w:hAnsi="宋体" w:eastAsia="仿宋_GB2312"/>
                <w:sz w:val="24"/>
              </w:rPr>
            </w:pPr>
          </w:p>
          <w:p w14:paraId="2D2D03F4">
            <w:pPr>
              <w:rPr>
                <w:rFonts w:ascii="仿宋_GB2312" w:hAnsi="宋体" w:eastAsia="仿宋_GB2312"/>
                <w:sz w:val="24"/>
              </w:rPr>
            </w:pPr>
          </w:p>
          <w:p w14:paraId="143384E6">
            <w:pPr>
              <w:rPr>
                <w:rFonts w:ascii="仿宋_GB2312" w:hAnsi="宋体" w:eastAsia="仿宋_GB2312"/>
                <w:sz w:val="24"/>
              </w:rPr>
            </w:pPr>
          </w:p>
          <w:p w14:paraId="7D7F5DDA">
            <w:pPr>
              <w:rPr>
                <w:rFonts w:ascii="仿宋_GB2312" w:hAnsi="宋体" w:eastAsia="仿宋_GB2312"/>
                <w:sz w:val="24"/>
              </w:rPr>
            </w:pPr>
          </w:p>
          <w:p w14:paraId="1D060E62">
            <w:pPr>
              <w:rPr>
                <w:rFonts w:ascii="仿宋_GB2312" w:hAnsi="宋体" w:eastAsia="仿宋_GB2312"/>
                <w:sz w:val="24"/>
              </w:rPr>
            </w:pPr>
          </w:p>
          <w:p w14:paraId="3B5B4140"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754BB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  <w:jc w:val="center"/>
        </w:trPr>
        <w:tc>
          <w:tcPr>
            <w:tcW w:w="2190" w:type="dxa"/>
            <w:noWrap w:val="0"/>
            <w:vAlign w:val="center"/>
          </w:tcPr>
          <w:p w14:paraId="23012A20">
            <w:pPr>
              <w:spacing w:line="360" w:lineRule="auto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被检查单位负责人签字：</w:t>
            </w:r>
          </w:p>
        </w:tc>
        <w:tc>
          <w:tcPr>
            <w:tcW w:w="6707" w:type="dxa"/>
            <w:noWrap w:val="0"/>
            <w:vAlign w:val="center"/>
          </w:tcPr>
          <w:p w14:paraId="105D1FA4">
            <w:pPr>
              <w:spacing w:line="360" w:lineRule="auto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 </w:t>
            </w:r>
          </w:p>
          <w:p w14:paraId="6CDEBCB4">
            <w:pPr>
              <w:spacing w:line="360" w:lineRule="auto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0D4D26F8">
            <w:pPr>
              <w:spacing w:line="360" w:lineRule="auto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5F585C58">
            <w:pPr>
              <w:spacing w:line="360" w:lineRule="auto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ascii="仿宋_GB2312" w:hAnsi="宋体" w:eastAsia="仿宋_GB2312"/>
                <w:sz w:val="24"/>
              </w:rPr>
              <w:t xml:space="preserve">                </w:t>
            </w:r>
            <w:r>
              <w:rPr>
                <w:rFonts w:hint="eastAsia" w:ascii="仿宋_GB2312" w:hAnsi="宋体" w:eastAsia="仿宋_GB2312"/>
                <w:sz w:val="24"/>
              </w:rPr>
              <w:t>年     月    日</w:t>
            </w:r>
          </w:p>
        </w:tc>
      </w:tr>
      <w:tr w14:paraId="56303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  <w:jc w:val="center"/>
        </w:trPr>
        <w:tc>
          <w:tcPr>
            <w:tcW w:w="2190" w:type="dxa"/>
            <w:noWrap w:val="0"/>
            <w:vAlign w:val="center"/>
          </w:tcPr>
          <w:p w14:paraId="171BE359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检查人员签字</w:t>
            </w:r>
          </w:p>
        </w:tc>
        <w:tc>
          <w:tcPr>
            <w:tcW w:w="6707" w:type="dxa"/>
            <w:noWrap w:val="0"/>
            <w:vAlign w:val="center"/>
          </w:tcPr>
          <w:p w14:paraId="4742233B">
            <w:pPr>
              <w:rPr>
                <w:rFonts w:ascii="仿宋_GB2312" w:hAnsi="宋体" w:eastAsia="仿宋_GB2312"/>
                <w:sz w:val="24"/>
              </w:rPr>
            </w:pPr>
          </w:p>
          <w:p w14:paraId="0C30E909">
            <w:pPr>
              <w:rPr>
                <w:rFonts w:ascii="仿宋_GB2312" w:hAnsi="宋体" w:eastAsia="仿宋_GB2312"/>
                <w:sz w:val="24"/>
              </w:rPr>
            </w:pPr>
          </w:p>
          <w:p w14:paraId="4CDAA9CB">
            <w:pPr>
              <w:rPr>
                <w:rFonts w:ascii="仿宋_GB2312" w:hAnsi="宋体" w:eastAsia="仿宋_GB2312"/>
                <w:sz w:val="24"/>
              </w:rPr>
            </w:pPr>
          </w:p>
          <w:p w14:paraId="1ACB8799">
            <w:pPr>
              <w:ind w:firstLine="1440" w:firstLineChars="6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</w:t>
            </w:r>
          </w:p>
          <w:p w14:paraId="22E964ED">
            <w:pPr>
              <w:ind w:firstLine="1440" w:firstLineChars="600"/>
              <w:rPr>
                <w:rFonts w:ascii="仿宋_GB2312" w:hAnsi="宋体" w:eastAsia="仿宋_GB2312"/>
                <w:sz w:val="24"/>
              </w:rPr>
            </w:pPr>
          </w:p>
          <w:p w14:paraId="231A5AB8">
            <w:pPr>
              <w:ind w:firstLine="3360" w:firstLineChars="14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     月    日</w:t>
            </w:r>
          </w:p>
          <w:p w14:paraId="5B74BE97">
            <w:pPr>
              <w:ind w:firstLine="1440" w:firstLineChars="600"/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 w14:paraId="169C08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1A183C"/>
    <w:rsid w:val="6B1A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2026-10-14T02:58:00Z</dcterms:created>
  <dc:creator>123</dc:creator>
  <cp:lastModifiedBy>123</cp:lastModifiedBy>
  <dcterms:modified xsi:type="dcterms:W3CDTF">2026-10-14T03:04:58Z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F610B7B4A47A4936BC535E12716B8CA2_11</vt:lpwstr>
  </property>
  <property fmtid="{D5CDD505-2E9C-101B-9397-08002B2CF9AE}" pid="4" name="KSOTemplateDocerSaveRecord">
    <vt:lpwstr>eyJoZGlkIjoiYWJhZTNhYTNjYWIyZjM2MDY2MWQ3ZTFjZTM4ZTZjMGQiLCJ1c2VySWQiOiIzMTMwODQ2MjUifQ==</vt:lpwstr>
  </property>
</Properties>
</file>