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08" w:type="dxa"/>
        <w:jc w:val="center"/>
        <w:tblCellSpacing w:w="0" w:type="dxa"/>
        <w:tblLayout w:type="autofit"/>
        <w:tblCellMar>
          <w:top w:w="0" w:type="dxa"/>
          <w:left w:w="0" w:type="dxa"/>
          <w:bottom w:w="0" w:type="dxa"/>
          <w:right w:w="0" w:type="dxa"/>
        </w:tblCellMar>
      </w:tblPr>
      <w:tblGrid>
        <w:gridCol w:w="9720"/>
      </w:tblGrid>
      <w:tr w14:paraId="176CAF7A">
        <w:tblPrEx>
          <w:tblCellMar>
            <w:top w:w="0" w:type="dxa"/>
            <w:left w:w="0" w:type="dxa"/>
            <w:bottom w:w="0" w:type="dxa"/>
            <w:right w:w="0" w:type="dxa"/>
          </w:tblCellMar>
        </w:tblPrEx>
        <w:trPr>
          <w:trHeight w:val="1470" w:hRule="atLeast"/>
          <w:tblCellSpacing w:w="0" w:type="dxa"/>
          <w:jc w:val="center"/>
        </w:trPr>
        <w:tc>
          <w:tcPr>
            <w:tcW w:w="9708" w:type="dxa"/>
            <w:noWrap w:val="0"/>
            <w:vAlign w:val="center"/>
          </w:tcPr>
          <w:p w14:paraId="60BEA421">
            <w:pPr>
              <w:widowControl/>
              <w:jc w:val="center"/>
              <w:rPr>
                <w:rFonts w:ascii="宋体" w:hAnsi="宋体" w:eastAsia="宋体" w:cs="宋体"/>
                <w:kern w:val="0"/>
                <w:sz w:val="72"/>
                <w:szCs w:val="72"/>
              </w:rPr>
            </w:pPr>
            <w:bookmarkStart w:id="0" w:name="_Toc83474802"/>
            <w:r>
              <w:rPr>
                <w:rFonts w:hint="eastAsia" w:ascii="宋体" w:hAnsi="宋体" w:eastAsia="宋体" w:cs="宋体"/>
                <w:kern w:val="0"/>
                <w:sz w:val="72"/>
                <w:szCs w:val="72"/>
                <w:lang w:eastAsia="zh-CN"/>
              </w:rPr>
              <w:drawing>
                <wp:inline distT="0" distB="0" distL="114300" distR="114300">
                  <wp:extent cx="6162675" cy="974090"/>
                  <wp:effectExtent l="0" t="0" r="9525" b="1270"/>
                  <wp:docPr id="1" name="图片 1" descr="0072a388fed079307a9fa6b1862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72a388fed079307a9fa6b18626925"/>
                          <pic:cNvPicPr>
                            <a:picLocks noChangeAspect="1"/>
                          </pic:cNvPicPr>
                        </pic:nvPicPr>
                        <pic:blipFill>
                          <a:blip r:embed="rId4"/>
                          <a:stretch>
                            <a:fillRect/>
                          </a:stretch>
                        </pic:blipFill>
                        <pic:spPr>
                          <a:xfrm>
                            <a:off x="0" y="0"/>
                            <a:ext cx="6162675" cy="974090"/>
                          </a:xfrm>
                          <a:prstGeom prst="rect">
                            <a:avLst/>
                          </a:prstGeom>
                          <a:noFill/>
                          <a:ln>
                            <a:noFill/>
                          </a:ln>
                        </pic:spPr>
                      </pic:pic>
                    </a:graphicData>
                  </a:graphic>
                </wp:inline>
              </w:drawing>
            </w:r>
          </w:p>
        </w:tc>
      </w:tr>
      <w:tr w14:paraId="3C4713E4">
        <w:tblPrEx>
          <w:tblCellMar>
            <w:top w:w="0" w:type="dxa"/>
            <w:left w:w="0" w:type="dxa"/>
            <w:bottom w:w="0" w:type="dxa"/>
            <w:right w:w="0" w:type="dxa"/>
          </w:tblCellMar>
        </w:tblPrEx>
        <w:trPr>
          <w:tblCellSpacing w:w="0" w:type="dxa"/>
          <w:jc w:val="center"/>
        </w:trPr>
        <w:tc>
          <w:tcPr>
            <w:tcW w:w="9708" w:type="dxa"/>
            <w:noWrap w:val="0"/>
            <w:vAlign w:val="center"/>
          </w:tcPr>
          <w:p w14:paraId="6B26B914">
            <w:pPr>
              <w:widowControl/>
              <w:jc w:val="right"/>
              <w:rPr>
                <w:rFonts w:ascii="宋体" w:hAnsi="宋体" w:eastAsia="宋体" w:cs="宋体"/>
                <w:kern w:val="0"/>
                <w:sz w:val="16"/>
                <w:szCs w:val="16"/>
              </w:rPr>
            </w:pPr>
            <w:r>
              <w:rPr>
                <w:rFonts w:ascii="宋体" w:hAnsi="宋体" w:eastAsia="宋体" w:cs="宋体"/>
                <w:kern w:val="0"/>
                <w:sz w:val="16"/>
                <w:szCs w:val="16"/>
              </w:rPr>
              <w:pict>
                <v:rect id="_x0000_i1026" o:spt="1" style="height:1.5pt;width:0.05pt;" fillcolor="#FF0000" filled="t" stroked="f" coordsize="21600,21600" o:hr="t" o:hrstd="t" o:hrnoshade="t" o:hralign="center">
                  <v:path/>
                  <v:fill on="t" focussize="0,0"/>
                  <v:stroke on="f"/>
                  <v:imagedata o:title=""/>
                  <o:lock v:ext="edit"/>
                  <w10:wrap type="none"/>
                  <w10:anchorlock/>
                </v:rect>
              </w:pict>
            </w:r>
          </w:p>
        </w:tc>
      </w:tr>
    </w:tbl>
    <w:p w14:paraId="59267A82">
      <w:pPr>
        <w:jc w:val="right"/>
        <w:rPr>
          <w:rFonts w:hint="eastAsia" w:ascii="仿宋" w:hAnsi="仿宋" w:eastAsia="仿宋"/>
          <w:sz w:val="32"/>
          <w:szCs w:val="32"/>
          <w:highlight w:val="none"/>
        </w:rPr>
      </w:pPr>
      <w:r>
        <w:rPr>
          <w:rFonts w:hint="eastAsia" w:ascii="仿宋" w:hAnsi="仿宋" w:eastAsia="仿宋"/>
          <w:sz w:val="32"/>
          <w:szCs w:val="32"/>
          <w:lang w:val="en-US" w:eastAsia="zh-CN"/>
        </w:rPr>
        <w:t xml:space="preserve">                                院字</w:t>
      </w:r>
      <w:r>
        <w:rPr>
          <w:rFonts w:ascii="仿宋_GB2312" w:hAnsi="宋体" w:eastAsia="仿宋_GB2312" w:cs="宋体"/>
          <w:kern w:val="0"/>
          <w:sz w:val="32"/>
          <w:szCs w:val="32"/>
        </w:rPr>
        <w:t>〔</w:t>
      </w:r>
      <w:r>
        <w:rPr>
          <w:rFonts w:hint="eastAsia" w:ascii="仿宋" w:hAnsi="仿宋" w:eastAsia="仿宋"/>
          <w:sz w:val="32"/>
          <w:szCs w:val="32"/>
        </w:rPr>
        <w:t>2</w:t>
      </w:r>
      <w:r>
        <w:rPr>
          <w:rFonts w:hint="eastAsia" w:ascii="仿宋" w:hAnsi="仿宋" w:eastAsia="仿宋"/>
          <w:sz w:val="32"/>
          <w:szCs w:val="32"/>
          <w:highlight w:val="none"/>
        </w:rPr>
        <w:t>0</w:t>
      </w:r>
      <w:r>
        <w:rPr>
          <w:rFonts w:hint="eastAsia" w:ascii="仿宋" w:hAnsi="仿宋" w:eastAsia="仿宋"/>
          <w:sz w:val="32"/>
          <w:szCs w:val="32"/>
          <w:highlight w:val="none"/>
          <w:lang w:val="en-US" w:eastAsia="zh-CN"/>
        </w:rPr>
        <w:t>19</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03</w:t>
      </w:r>
      <w:r>
        <w:rPr>
          <w:rFonts w:hint="eastAsia" w:ascii="仿宋" w:hAnsi="仿宋" w:eastAsia="仿宋"/>
          <w:sz w:val="32"/>
          <w:szCs w:val="32"/>
          <w:highlight w:val="none"/>
        </w:rPr>
        <w:t>号</w:t>
      </w:r>
    </w:p>
    <w:p w14:paraId="6CFEA44D"/>
    <w:p w14:paraId="1F874EAF">
      <w:pPr>
        <w:autoSpaceDE w:val="0"/>
        <w:spacing w:line="560" w:lineRule="exact"/>
        <w:ind w:left="-680" w:right="-680"/>
        <w:rPr>
          <w:rFonts w:eastAsia="仿宋_GB2312"/>
          <w:kern w:val="0"/>
          <w:sz w:val="32"/>
          <w:szCs w:val="32"/>
        </w:rPr>
      </w:pPr>
      <w:r>
        <w:rPr>
          <w:rFonts w:eastAsia="仿宋_GB2312"/>
          <w:kern w:val="0"/>
          <w:sz w:val="32"/>
          <w:szCs w:val="32"/>
        </w:rPr>
        <w:t>各系、教研室、实验中心：</w:t>
      </w:r>
    </w:p>
    <w:p w14:paraId="1255BC4E">
      <w:pPr>
        <w:autoSpaceDE w:val="0"/>
        <w:spacing w:line="560" w:lineRule="exact"/>
        <w:ind w:left="-680" w:right="-680" w:firstLine="640" w:firstLineChars="200"/>
        <w:rPr>
          <w:rFonts w:eastAsia="仿宋_GB2312"/>
          <w:kern w:val="0"/>
          <w:sz w:val="32"/>
          <w:szCs w:val="32"/>
        </w:rPr>
      </w:pPr>
      <w:r>
        <w:rPr>
          <w:rFonts w:eastAsia="仿宋_GB2312"/>
          <w:kern w:val="0"/>
          <w:sz w:val="32"/>
          <w:szCs w:val="32"/>
        </w:rPr>
        <w:t>为贯彻落实《工程教育专业认证标准》，进一步完善土木类专业教学质量评价制度，促进课堂教学质量不断提高，支撑毕业要求的有效达成，学院制定《安徽建筑大学土木工程学院毕业要求达成评价机制和实施办法》，已经学院研究讨论通过，现予印发。</w:t>
      </w:r>
      <w:bookmarkStart w:id="1" w:name="_GoBack"/>
      <w:bookmarkEnd w:id="1"/>
    </w:p>
    <w:p w14:paraId="0EAE69BA">
      <w:pPr>
        <w:autoSpaceDE w:val="0"/>
        <w:spacing w:line="560" w:lineRule="exact"/>
        <w:ind w:left="-680" w:right="-680" w:firstLine="640" w:firstLineChars="200"/>
        <w:rPr>
          <w:rFonts w:eastAsia="仿宋_GB2312"/>
          <w:kern w:val="0"/>
          <w:sz w:val="32"/>
          <w:szCs w:val="32"/>
        </w:rPr>
      </w:pPr>
      <w:r>
        <w:rPr>
          <w:rFonts w:eastAsia="仿宋_GB2312"/>
          <w:kern w:val="0"/>
          <w:sz w:val="32"/>
          <w:szCs w:val="32"/>
        </w:rPr>
        <w:t>特此通知</w:t>
      </w:r>
    </w:p>
    <w:p w14:paraId="6745E1B7">
      <w:pPr>
        <w:autoSpaceDE w:val="0"/>
        <w:spacing w:line="560" w:lineRule="exact"/>
        <w:ind w:left="-680" w:right="-680" w:firstLine="640" w:firstLineChars="200"/>
        <w:rPr>
          <w:rFonts w:eastAsia="仿宋_GB2312"/>
          <w:kern w:val="0"/>
          <w:sz w:val="32"/>
          <w:szCs w:val="32"/>
        </w:rPr>
      </w:pPr>
    </w:p>
    <w:p w14:paraId="1B1F17DE">
      <w:pPr>
        <w:autoSpaceDE w:val="0"/>
        <w:spacing w:line="560" w:lineRule="exact"/>
        <w:ind w:left="-680" w:right="-680" w:firstLine="640" w:firstLineChars="200"/>
        <w:rPr>
          <w:rFonts w:eastAsia="仿宋_GB2312"/>
          <w:kern w:val="0"/>
          <w:sz w:val="32"/>
          <w:szCs w:val="32"/>
        </w:rPr>
      </w:pPr>
      <w:r>
        <w:rPr>
          <w:rFonts w:eastAsia="仿宋_GB2312"/>
          <w:kern w:val="0"/>
          <w:sz w:val="32"/>
          <w:szCs w:val="32"/>
        </w:rPr>
        <w:t>附件：《安徽建筑大学土木工程学院毕业要求达成评价机制和实施办法》</w:t>
      </w:r>
    </w:p>
    <w:p w14:paraId="372B3157">
      <w:pPr>
        <w:widowControl/>
        <w:ind w:left="-680" w:right="-680"/>
        <w:rPr>
          <w:rFonts w:eastAsia="仿宋_GB2312"/>
          <w:kern w:val="0"/>
          <w:sz w:val="32"/>
          <w:szCs w:val="32"/>
        </w:rPr>
      </w:pPr>
    </w:p>
    <w:p w14:paraId="3321DD6F">
      <w:pPr>
        <w:widowControl/>
        <w:ind w:left="-680" w:right="-680"/>
        <w:rPr>
          <w:rFonts w:eastAsia="仿宋_GB2312"/>
          <w:kern w:val="0"/>
          <w:sz w:val="32"/>
          <w:szCs w:val="32"/>
        </w:rPr>
      </w:pPr>
    </w:p>
    <w:p w14:paraId="55E3AB8B">
      <w:pPr>
        <w:widowControl/>
        <w:ind w:left="-680" w:right="-680"/>
        <w:jc w:val="right"/>
        <w:rPr>
          <w:rFonts w:eastAsia="仿宋_GB2312"/>
          <w:kern w:val="0"/>
          <w:sz w:val="32"/>
          <w:szCs w:val="32"/>
        </w:rPr>
      </w:pPr>
      <w:r>
        <w:rPr>
          <w:rFonts w:eastAsia="仿宋_GB2312"/>
          <w:kern w:val="0"/>
          <w:sz w:val="32"/>
          <w:szCs w:val="32"/>
        </w:rPr>
        <w:t>安徽建筑大学土木工程学院</w:t>
      </w:r>
    </w:p>
    <w:p w14:paraId="79154BD9">
      <w:pPr>
        <w:ind w:left="-680" w:right="-680"/>
        <w:jc w:val="right"/>
        <w:rPr>
          <w:rFonts w:eastAsia="仿宋_GB2312"/>
          <w:kern w:val="0"/>
          <w:sz w:val="32"/>
          <w:szCs w:val="32"/>
        </w:rPr>
      </w:pPr>
      <w:r>
        <w:rPr>
          <w:rFonts w:eastAsia="仿宋_GB2312"/>
          <w:kern w:val="0"/>
          <w:sz w:val="32"/>
          <w:szCs w:val="32"/>
        </w:rPr>
        <w:t>2019年12月6日</w:t>
      </w:r>
    </w:p>
    <w:p w14:paraId="75FEAC59">
      <w:pPr>
        <w:rPr>
          <w:rFonts w:eastAsia="仿宋_GB2312"/>
          <w:kern w:val="0"/>
          <w:sz w:val="32"/>
          <w:szCs w:val="32"/>
        </w:rPr>
      </w:pPr>
    </w:p>
    <w:p w14:paraId="4B71F4CF">
      <w:pPr>
        <w:rPr>
          <w:rFonts w:eastAsia="仿宋_GB2312"/>
          <w:kern w:val="0"/>
          <w:sz w:val="32"/>
          <w:szCs w:val="32"/>
        </w:rPr>
      </w:pPr>
      <w:r>
        <w:rPr>
          <w:rFonts w:eastAsia="仿宋_GB2312"/>
          <w:kern w:val="0"/>
          <w:sz w:val="32"/>
          <w:szCs w:val="32"/>
        </w:rPr>
        <w:t>安徽建筑大学土木工程学院2019年12月6日印发</w:t>
      </w:r>
    </w:p>
    <w:p w14:paraId="6CC9174F">
      <w:pPr>
        <w:rPr>
          <w:rFonts w:eastAsia="仿宋_GB2312"/>
          <w:kern w:val="0"/>
          <w:sz w:val="32"/>
          <w:szCs w:val="32"/>
        </w:rPr>
      </w:pPr>
      <w:r>
        <w:rPr>
          <w:rFonts w:eastAsia="仿宋_GB2312"/>
          <w:kern w:val="0"/>
          <w:sz w:val="32"/>
          <w:szCs w:val="32"/>
        </w:rPr>
        <w:t>附件</w:t>
      </w:r>
    </w:p>
    <w:p w14:paraId="0930CD28">
      <w:pPr>
        <w:rPr>
          <w:rFonts w:eastAsia="仿宋"/>
          <w:sz w:val="32"/>
          <w:szCs w:val="32"/>
        </w:rPr>
      </w:pPr>
      <w:r>
        <w:rPr>
          <w:rFonts w:eastAsia="仿宋"/>
          <w:sz w:val="32"/>
          <w:szCs w:val="32"/>
        </w:rPr>
        <w:br w:type="page"/>
      </w:r>
    </w:p>
    <w:p w14:paraId="75AB51D7">
      <w:pPr>
        <w:widowControl/>
        <w:spacing w:line="207" w:lineRule="atLeast"/>
        <w:jc w:val="center"/>
        <w:rPr>
          <w:rFonts w:ascii="宋体" w:hAnsi="宋体" w:eastAsia="宋体"/>
          <w:b/>
          <w:bCs/>
          <w:kern w:val="0"/>
          <w:sz w:val="44"/>
          <w:szCs w:val="44"/>
        </w:rPr>
      </w:pPr>
      <w:r>
        <w:rPr>
          <w:rFonts w:ascii="宋体" w:hAnsi="宋体" w:eastAsia="宋体"/>
          <w:b/>
          <w:bCs/>
          <w:kern w:val="0"/>
          <w:sz w:val="44"/>
          <w:szCs w:val="44"/>
        </w:rPr>
        <w:t>安徽建筑大学土木工程学院毕业要求达成评价机制和实施办法</w:t>
      </w:r>
      <w:bookmarkEnd w:id="0"/>
    </w:p>
    <w:p w14:paraId="77F067FC">
      <w:pPr>
        <w:widowControl/>
        <w:spacing w:line="225" w:lineRule="atLeast"/>
        <w:ind w:firstLine="555"/>
        <w:rPr>
          <w:rFonts w:eastAsia="仿宋"/>
          <w:kern w:val="0"/>
          <w:sz w:val="29"/>
          <w:szCs w:val="29"/>
        </w:rPr>
      </w:pPr>
    </w:p>
    <w:p w14:paraId="30D91297">
      <w:pPr>
        <w:widowControl/>
        <w:spacing w:line="225" w:lineRule="atLeast"/>
        <w:ind w:firstLine="555"/>
        <w:rPr>
          <w:rFonts w:eastAsia="仿宋_GB2312"/>
          <w:kern w:val="0"/>
          <w:sz w:val="32"/>
          <w:szCs w:val="32"/>
        </w:rPr>
      </w:pPr>
      <w:r>
        <w:rPr>
          <w:rFonts w:eastAsia="仿宋_GB2312"/>
          <w:kern w:val="0"/>
          <w:sz w:val="32"/>
          <w:szCs w:val="32"/>
        </w:rPr>
        <w:t>为有效评价毕业要求的达成情况，对各专业的毕业要求进行多维度的评价，检验和判断专业人才培养质量是否达到预期标准，分析学生各项能力的长处和短板，为专业教育教学的持续改进提供依据。特制定学院毕业要求达成评价机制和实施办法。</w:t>
      </w:r>
    </w:p>
    <w:p w14:paraId="558EB61B">
      <w:pPr>
        <w:widowControl/>
        <w:spacing w:line="405" w:lineRule="atLeast"/>
        <w:jc w:val="left"/>
        <w:rPr>
          <w:rFonts w:eastAsia="仿宋_GB2312"/>
          <w:b/>
          <w:bCs/>
          <w:kern w:val="0"/>
          <w:sz w:val="32"/>
          <w:szCs w:val="32"/>
        </w:rPr>
      </w:pPr>
      <w:r>
        <w:rPr>
          <w:rFonts w:eastAsia="仿宋_GB2312"/>
          <w:b/>
          <w:bCs/>
          <w:kern w:val="0"/>
          <w:sz w:val="32"/>
          <w:szCs w:val="32"/>
        </w:rPr>
        <w:t>一、评价对象</w:t>
      </w:r>
    </w:p>
    <w:p w14:paraId="0038A2D5">
      <w:pPr>
        <w:widowControl/>
        <w:spacing w:line="270" w:lineRule="atLeast"/>
        <w:ind w:firstLine="555"/>
        <w:rPr>
          <w:rFonts w:eastAsia="仿宋_GB2312"/>
          <w:kern w:val="0"/>
          <w:sz w:val="32"/>
          <w:szCs w:val="32"/>
        </w:rPr>
      </w:pPr>
      <w:r>
        <w:rPr>
          <w:rFonts w:eastAsia="仿宋_GB2312"/>
          <w:kern w:val="0"/>
          <w:sz w:val="32"/>
          <w:szCs w:val="32"/>
        </w:rPr>
        <w:t>学院毕业要求达成评价对象是各专业每一届当年所有取得毕业证书的毕业生。</w:t>
      </w:r>
    </w:p>
    <w:p w14:paraId="154AAB3B">
      <w:pPr>
        <w:widowControl/>
        <w:spacing w:line="405" w:lineRule="atLeast"/>
        <w:jc w:val="left"/>
        <w:rPr>
          <w:rFonts w:eastAsia="仿宋_GB2312"/>
          <w:b/>
          <w:bCs/>
          <w:kern w:val="0"/>
          <w:sz w:val="32"/>
          <w:szCs w:val="32"/>
        </w:rPr>
      </w:pPr>
      <w:r>
        <w:rPr>
          <w:rFonts w:eastAsia="仿宋_GB2312"/>
          <w:b/>
          <w:bCs/>
          <w:kern w:val="0"/>
          <w:sz w:val="32"/>
          <w:szCs w:val="32"/>
        </w:rPr>
        <w:t>二、评价组织及职责</w:t>
      </w:r>
    </w:p>
    <w:p w14:paraId="06EE021F">
      <w:pPr>
        <w:widowControl/>
        <w:spacing w:line="270" w:lineRule="atLeast"/>
        <w:ind w:firstLine="555"/>
        <w:jc w:val="left"/>
        <w:rPr>
          <w:rFonts w:eastAsia="仿宋_GB2312"/>
          <w:kern w:val="0"/>
          <w:sz w:val="32"/>
          <w:szCs w:val="32"/>
        </w:rPr>
      </w:pPr>
      <w:r>
        <w:rPr>
          <w:rFonts w:eastAsia="仿宋_GB2312"/>
          <w:kern w:val="0"/>
          <w:sz w:val="32"/>
          <w:szCs w:val="32"/>
        </w:rPr>
        <w:t>由学院各专业带头人牵头成立本专业毕业要求达成评价工作小组，实施和完成每一届毕业生的毕业要求达成的评价工作。工作小组主要由专业带头人、专业主任、教学经验丰富的骨干教师以及行业专家等构成。学院教学办负责协调与配合评价工作的开展。</w:t>
      </w:r>
    </w:p>
    <w:p w14:paraId="2FD609C4">
      <w:pPr>
        <w:widowControl/>
        <w:spacing w:line="270" w:lineRule="atLeast"/>
        <w:ind w:firstLine="555"/>
        <w:rPr>
          <w:rFonts w:eastAsia="仿宋_GB2312"/>
          <w:kern w:val="0"/>
          <w:sz w:val="32"/>
          <w:szCs w:val="32"/>
        </w:rPr>
      </w:pPr>
      <w:r>
        <w:rPr>
          <w:rFonts w:eastAsia="仿宋_GB2312"/>
          <w:kern w:val="0"/>
          <w:sz w:val="32"/>
          <w:szCs w:val="32"/>
        </w:rPr>
        <w:t>专业带头人全面负责本专业毕业生的毕业要求达成评价组织开展专业毕业要求达成评价工作；课程负责人负责提供毕业要求达成评价所需的课程目标达成等基础数据；辅导员和教学秘书协助专业主任开展毕业要求达成的评价工作，主要职责是收集、登记、整理、转送、保管各类学生学业成绩资料和评价反馈材料等；专业带头人会同专业骨干教师开展毕业要求达成反馈信息的分析总结工作，依据各类数据分析和调研的结果，分析学生各项能力的长处和短板，研讨并形成专业持续改进方案。学院毕业要求达成评价工作小组工作职责如表1所示。</w:t>
      </w:r>
    </w:p>
    <w:p w14:paraId="5FA49B00">
      <w:pPr>
        <w:widowControl/>
        <w:spacing w:before="156" w:beforeLines="50" w:line="360" w:lineRule="auto"/>
        <w:jc w:val="center"/>
        <w:rPr>
          <w:rFonts w:eastAsia="仿宋_GB2312"/>
          <w:b/>
          <w:bCs/>
          <w:kern w:val="0"/>
          <w:sz w:val="28"/>
          <w:szCs w:val="28"/>
        </w:rPr>
      </w:pPr>
      <w:r>
        <w:rPr>
          <w:rFonts w:eastAsia="仿宋_GB2312"/>
          <w:b/>
          <w:bCs/>
          <w:kern w:val="0"/>
          <w:sz w:val="28"/>
          <w:szCs w:val="28"/>
        </w:rPr>
        <w:t>表1 学院各专业毕业要求达成评价工作小组的工作职责</w:t>
      </w:r>
    </w:p>
    <w:tbl>
      <w:tblPr>
        <w:tblStyle w:val="2"/>
        <w:tblW w:w="4877" w:type="pct"/>
        <w:tblInd w:w="9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01"/>
        <w:gridCol w:w="4674"/>
        <w:gridCol w:w="2732"/>
      </w:tblGrid>
      <w:tr w14:paraId="1BFF4E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542"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5280F4DA">
            <w:pPr>
              <w:widowControl/>
              <w:spacing w:line="270" w:lineRule="atLeast"/>
              <w:jc w:val="center"/>
              <w:rPr>
                <w:rFonts w:eastAsia="仿宋_GB2312"/>
                <w:b/>
                <w:bCs/>
                <w:kern w:val="0"/>
                <w:sz w:val="28"/>
                <w:szCs w:val="28"/>
              </w:rPr>
            </w:pPr>
            <w:r>
              <w:rPr>
                <w:rFonts w:eastAsia="仿宋_GB2312"/>
                <w:b/>
                <w:bCs/>
                <w:kern w:val="0"/>
                <w:sz w:val="28"/>
                <w:szCs w:val="28"/>
              </w:rPr>
              <w:t>序号</w:t>
            </w:r>
          </w:p>
        </w:tc>
        <w:tc>
          <w:tcPr>
            <w:tcW w:w="2812" w:type="pc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2F84DB36">
            <w:pPr>
              <w:widowControl/>
              <w:spacing w:line="270" w:lineRule="atLeast"/>
              <w:jc w:val="center"/>
              <w:rPr>
                <w:rFonts w:eastAsia="仿宋_GB2312"/>
                <w:b/>
                <w:bCs/>
                <w:kern w:val="0"/>
                <w:sz w:val="28"/>
                <w:szCs w:val="28"/>
              </w:rPr>
            </w:pPr>
            <w:r>
              <w:rPr>
                <w:rFonts w:eastAsia="仿宋_GB2312"/>
                <w:b/>
                <w:bCs/>
                <w:kern w:val="0"/>
                <w:sz w:val="28"/>
                <w:szCs w:val="28"/>
              </w:rPr>
              <w:t>评价活动</w:t>
            </w:r>
          </w:p>
        </w:tc>
        <w:tc>
          <w:tcPr>
            <w:tcW w:w="1644" w:type="pc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0D6B3AE2">
            <w:pPr>
              <w:widowControl/>
              <w:spacing w:line="270" w:lineRule="atLeast"/>
              <w:jc w:val="center"/>
              <w:rPr>
                <w:rFonts w:eastAsia="仿宋_GB2312"/>
                <w:b/>
                <w:bCs/>
                <w:kern w:val="0"/>
                <w:sz w:val="28"/>
                <w:szCs w:val="28"/>
              </w:rPr>
            </w:pPr>
            <w:r>
              <w:rPr>
                <w:rFonts w:eastAsia="仿宋_GB2312"/>
                <w:b/>
                <w:bCs/>
                <w:kern w:val="0"/>
                <w:sz w:val="28"/>
                <w:szCs w:val="28"/>
              </w:rPr>
              <w:t>相关责任人/机构</w:t>
            </w:r>
          </w:p>
        </w:tc>
      </w:tr>
      <w:tr w14:paraId="611E21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542"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C897D18">
            <w:pPr>
              <w:widowControl/>
              <w:spacing w:line="270" w:lineRule="atLeast"/>
              <w:jc w:val="center"/>
              <w:rPr>
                <w:rFonts w:eastAsia="仿宋_GB2312"/>
                <w:kern w:val="0"/>
                <w:sz w:val="28"/>
                <w:szCs w:val="28"/>
              </w:rPr>
            </w:pPr>
            <w:r>
              <w:rPr>
                <w:rFonts w:eastAsia="仿宋_GB2312"/>
                <w:kern w:val="0"/>
                <w:sz w:val="28"/>
                <w:szCs w:val="28"/>
              </w:rPr>
              <w:t>1</w:t>
            </w:r>
          </w:p>
        </w:tc>
        <w:tc>
          <w:tcPr>
            <w:tcW w:w="2812"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79DC3FC7">
            <w:pPr>
              <w:widowControl/>
              <w:spacing w:line="270" w:lineRule="atLeast"/>
              <w:rPr>
                <w:rFonts w:eastAsia="仿宋_GB2312"/>
                <w:kern w:val="0"/>
                <w:sz w:val="28"/>
                <w:szCs w:val="28"/>
              </w:rPr>
            </w:pPr>
            <w:r>
              <w:rPr>
                <w:rFonts w:eastAsia="仿宋_GB2312"/>
                <w:kern w:val="0"/>
                <w:sz w:val="28"/>
                <w:szCs w:val="28"/>
              </w:rPr>
              <w:t>统筹协调评价工作。</w:t>
            </w:r>
          </w:p>
        </w:tc>
        <w:tc>
          <w:tcPr>
            <w:tcW w:w="1644"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B2FDFDF">
            <w:pPr>
              <w:widowControl/>
              <w:spacing w:line="270" w:lineRule="atLeast"/>
              <w:rPr>
                <w:rFonts w:eastAsia="仿宋_GB2312"/>
                <w:kern w:val="0"/>
                <w:sz w:val="28"/>
                <w:szCs w:val="28"/>
              </w:rPr>
            </w:pPr>
            <w:r>
              <w:rPr>
                <w:rFonts w:eastAsia="仿宋_GB2312"/>
                <w:kern w:val="0"/>
                <w:sz w:val="28"/>
                <w:szCs w:val="28"/>
              </w:rPr>
              <w:t>教学副院长、专业带头人、专业主任</w:t>
            </w:r>
          </w:p>
        </w:tc>
      </w:tr>
      <w:tr w14:paraId="01CF6A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5" w:hRule="atLeast"/>
        </w:trPr>
        <w:tc>
          <w:tcPr>
            <w:tcW w:w="542"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1E382C8">
            <w:pPr>
              <w:widowControl/>
              <w:spacing w:line="270" w:lineRule="atLeast"/>
              <w:jc w:val="center"/>
              <w:rPr>
                <w:rFonts w:eastAsia="仿宋_GB2312"/>
                <w:kern w:val="0"/>
                <w:sz w:val="28"/>
                <w:szCs w:val="28"/>
              </w:rPr>
            </w:pPr>
            <w:r>
              <w:rPr>
                <w:rFonts w:eastAsia="仿宋_GB2312"/>
                <w:kern w:val="0"/>
                <w:sz w:val="28"/>
                <w:szCs w:val="28"/>
              </w:rPr>
              <w:t>2</w:t>
            </w:r>
          </w:p>
        </w:tc>
        <w:tc>
          <w:tcPr>
            <w:tcW w:w="2812"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47AF67F4">
            <w:pPr>
              <w:widowControl/>
              <w:spacing w:line="270" w:lineRule="atLeast"/>
              <w:rPr>
                <w:rFonts w:eastAsia="仿宋_GB2312"/>
                <w:kern w:val="0"/>
                <w:sz w:val="28"/>
                <w:szCs w:val="28"/>
              </w:rPr>
            </w:pPr>
            <w:r>
              <w:rPr>
                <w:rFonts w:eastAsia="仿宋_GB2312"/>
                <w:kern w:val="0"/>
                <w:sz w:val="28"/>
                <w:szCs w:val="28"/>
              </w:rPr>
              <w:t>制定各专业毕业要求达成评价标准与具体评价方法。</w:t>
            </w:r>
          </w:p>
        </w:tc>
        <w:tc>
          <w:tcPr>
            <w:tcW w:w="1644"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B199C87">
            <w:pPr>
              <w:widowControl/>
              <w:spacing w:line="270" w:lineRule="atLeast"/>
              <w:rPr>
                <w:rFonts w:eastAsia="仿宋_GB2312"/>
                <w:kern w:val="0"/>
                <w:sz w:val="28"/>
                <w:szCs w:val="28"/>
              </w:rPr>
            </w:pPr>
            <w:r>
              <w:rPr>
                <w:rFonts w:eastAsia="仿宋_GB2312"/>
                <w:kern w:val="0"/>
                <w:sz w:val="28"/>
                <w:szCs w:val="28"/>
              </w:rPr>
              <w:t>专业教学指导委员会</w:t>
            </w:r>
          </w:p>
        </w:tc>
      </w:tr>
      <w:tr w14:paraId="54AB9C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15" w:hRule="atLeast"/>
        </w:trPr>
        <w:tc>
          <w:tcPr>
            <w:tcW w:w="542"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249D60D">
            <w:pPr>
              <w:widowControl/>
              <w:spacing w:line="270" w:lineRule="atLeast"/>
              <w:jc w:val="center"/>
              <w:rPr>
                <w:rFonts w:eastAsia="仿宋_GB2312"/>
                <w:kern w:val="0"/>
                <w:sz w:val="28"/>
                <w:szCs w:val="28"/>
              </w:rPr>
            </w:pPr>
            <w:r>
              <w:rPr>
                <w:rFonts w:eastAsia="仿宋_GB2312"/>
                <w:kern w:val="0"/>
                <w:sz w:val="28"/>
                <w:szCs w:val="28"/>
              </w:rPr>
              <w:t>3</w:t>
            </w:r>
          </w:p>
        </w:tc>
        <w:tc>
          <w:tcPr>
            <w:tcW w:w="2812"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AAB9332">
            <w:pPr>
              <w:widowControl/>
              <w:spacing w:line="270" w:lineRule="atLeast"/>
              <w:rPr>
                <w:rFonts w:eastAsia="仿宋_GB2312"/>
                <w:kern w:val="0"/>
                <w:sz w:val="28"/>
                <w:szCs w:val="28"/>
              </w:rPr>
            </w:pPr>
            <w:r>
              <w:rPr>
                <w:rFonts w:eastAsia="仿宋_GB2312"/>
                <w:kern w:val="0"/>
                <w:sz w:val="28"/>
                <w:szCs w:val="28"/>
              </w:rPr>
              <w:t>组织学院各专业毕业要求达成评价工作，实施毕业要求达成评估、收集并整理反馈信息。</w:t>
            </w:r>
          </w:p>
        </w:tc>
        <w:tc>
          <w:tcPr>
            <w:tcW w:w="1644"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455094F3">
            <w:pPr>
              <w:widowControl/>
              <w:spacing w:line="270" w:lineRule="atLeast"/>
              <w:rPr>
                <w:rFonts w:eastAsia="仿宋_GB2312"/>
                <w:kern w:val="0"/>
                <w:sz w:val="28"/>
                <w:szCs w:val="28"/>
              </w:rPr>
            </w:pPr>
            <w:r>
              <w:rPr>
                <w:rFonts w:eastAsia="仿宋_GB2312"/>
                <w:kern w:val="0"/>
                <w:sz w:val="28"/>
                <w:szCs w:val="28"/>
              </w:rPr>
              <w:t>教学副院长、学生副院长、专业带头人、专业主任、课程负责人、专业骨干教师、教务员及辅导员</w:t>
            </w:r>
          </w:p>
        </w:tc>
      </w:tr>
      <w:tr w14:paraId="3AD243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5" w:hRule="atLeast"/>
        </w:trPr>
        <w:tc>
          <w:tcPr>
            <w:tcW w:w="542"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66B1E97">
            <w:pPr>
              <w:widowControl/>
              <w:spacing w:line="270" w:lineRule="atLeast"/>
              <w:jc w:val="center"/>
              <w:rPr>
                <w:rFonts w:eastAsia="仿宋_GB2312"/>
                <w:kern w:val="0"/>
                <w:sz w:val="28"/>
                <w:szCs w:val="28"/>
              </w:rPr>
            </w:pPr>
            <w:r>
              <w:rPr>
                <w:rFonts w:eastAsia="仿宋_GB2312"/>
                <w:kern w:val="0"/>
                <w:sz w:val="28"/>
                <w:szCs w:val="28"/>
              </w:rPr>
              <w:t>4</w:t>
            </w:r>
          </w:p>
        </w:tc>
        <w:tc>
          <w:tcPr>
            <w:tcW w:w="2812"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5F39C907">
            <w:pPr>
              <w:widowControl/>
              <w:spacing w:line="270" w:lineRule="atLeast"/>
              <w:rPr>
                <w:rFonts w:eastAsia="仿宋_GB2312"/>
                <w:kern w:val="0"/>
                <w:sz w:val="28"/>
                <w:szCs w:val="28"/>
              </w:rPr>
            </w:pPr>
            <w:r>
              <w:rPr>
                <w:rFonts w:eastAsia="仿宋_GB2312"/>
                <w:kern w:val="0"/>
                <w:sz w:val="28"/>
                <w:szCs w:val="28"/>
              </w:rPr>
              <w:t>毕业要求达成数据分析、研讨并形成专业持续改进方案。</w:t>
            </w:r>
          </w:p>
        </w:tc>
        <w:tc>
          <w:tcPr>
            <w:tcW w:w="1644"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5F636A53">
            <w:pPr>
              <w:widowControl/>
              <w:spacing w:line="270" w:lineRule="atLeast"/>
              <w:rPr>
                <w:rFonts w:eastAsia="仿宋_GB2312"/>
                <w:kern w:val="0"/>
                <w:sz w:val="28"/>
                <w:szCs w:val="28"/>
              </w:rPr>
            </w:pPr>
            <w:r>
              <w:rPr>
                <w:rFonts w:eastAsia="仿宋_GB2312"/>
                <w:kern w:val="0"/>
                <w:sz w:val="28"/>
                <w:szCs w:val="28"/>
              </w:rPr>
              <w:t>专业带头人、专业主任、专业骨干教师、课程负责人</w:t>
            </w:r>
          </w:p>
        </w:tc>
      </w:tr>
    </w:tbl>
    <w:p w14:paraId="373A36CD">
      <w:pPr>
        <w:widowControl/>
        <w:spacing w:line="405" w:lineRule="atLeast"/>
        <w:jc w:val="left"/>
        <w:rPr>
          <w:rFonts w:eastAsia="仿宋"/>
          <w:b/>
          <w:bCs/>
          <w:kern w:val="0"/>
          <w:sz w:val="18"/>
          <w:szCs w:val="18"/>
        </w:rPr>
      </w:pPr>
      <w:r>
        <w:rPr>
          <w:rFonts w:eastAsia="仿宋"/>
          <w:b/>
          <w:bCs/>
          <w:kern w:val="0"/>
          <w:sz w:val="29"/>
          <w:szCs w:val="29"/>
        </w:rPr>
        <w:t>三、评价周期</w:t>
      </w:r>
    </w:p>
    <w:p w14:paraId="060F1F81">
      <w:pPr>
        <w:widowControl/>
        <w:spacing w:line="270" w:lineRule="atLeast"/>
        <w:ind w:firstLine="555"/>
        <w:rPr>
          <w:rFonts w:eastAsia="仿宋_GB2312"/>
          <w:kern w:val="0"/>
          <w:sz w:val="32"/>
          <w:szCs w:val="32"/>
        </w:rPr>
      </w:pPr>
      <w:r>
        <w:rPr>
          <w:rFonts w:eastAsia="仿宋_GB2312"/>
          <w:kern w:val="0"/>
          <w:sz w:val="32"/>
          <w:szCs w:val="32"/>
        </w:rPr>
        <w:t>学院要求各专业对每一届毕业生均开展毕业要求达成评价的定性定量评价工作，评价时间为每年10月。同时，每两年对应届毕业生开展毕业要求达成的综合评价工作，用于对课程体系修订的持续改进。</w:t>
      </w:r>
    </w:p>
    <w:p w14:paraId="25A54002">
      <w:pPr>
        <w:widowControl/>
        <w:spacing w:line="405" w:lineRule="atLeast"/>
        <w:jc w:val="left"/>
        <w:rPr>
          <w:rFonts w:eastAsia="仿宋_GB2312"/>
          <w:b/>
          <w:bCs/>
          <w:kern w:val="0"/>
          <w:sz w:val="32"/>
          <w:szCs w:val="32"/>
        </w:rPr>
      </w:pPr>
      <w:r>
        <w:rPr>
          <w:rFonts w:eastAsia="仿宋_GB2312"/>
          <w:b/>
          <w:bCs/>
          <w:kern w:val="0"/>
          <w:sz w:val="32"/>
          <w:szCs w:val="32"/>
        </w:rPr>
        <w:t>四、评价方法</w:t>
      </w:r>
    </w:p>
    <w:p w14:paraId="5A6C5A08">
      <w:pPr>
        <w:widowControl/>
        <w:spacing w:line="270" w:lineRule="atLeast"/>
        <w:ind w:firstLine="555"/>
        <w:rPr>
          <w:rFonts w:eastAsia="仿宋_GB2312"/>
          <w:kern w:val="0"/>
          <w:sz w:val="32"/>
          <w:szCs w:val="32"/>
        </w:rPr>
      </w:pPr>
      <w:r>
        <w:rPr>
          <w:rFonts w:eastAsia="仿宋_GB2312"/>
          <w:kern w:val="0"/>
          <w:sz w:val="32"/>
          <w:szCs w:val="32"/>
        </w:rPr>
        <w:t>毕业要求达成采用定量评价和定性评价相结合的方法，包括基于课程目标达成定量评价法以及基于毕业生问卷调查和用人单位调研的定性评价法。</w:t>
      </w:r>
    </w:p>
    <w:p w14:paraId="209B4F1C">
      <w:pPr>
        <w:widowControl/>
        <w:spacing w:line="270" w:lineRule="atLeast"/>
        <w:ind w:firstLine="555"/>
        <w:rPr>
          <w:rFonts w:eastAsia="仿宋_GB2312"/>
          <w:kern w:val="0"/>
          <w:sz w:val="32"/>
          <w:szCs w:val="32"/>
        </w:rPr>
      </w:pPr>
      <w:r>
        <w:rPr>
          <w:rFonts w:eastAsia="仿宋_GB2312"/>
          <w:kern w:val="0"/>
          <w:sz w:val="32"/>
          <w:szCs w:val="32"/>
        </w:rPr>
        <w:t>1.基于课程目标达成的定量评价法</w:t>
      </w:r>
    </w:p>
    <w:p w14:paraId="22D35303">
      <w:pPr>
        <w:widowControl/>
        <w:spacing w:line="270" w:lineRule="atLeast"/>
        <w:ind w:firstLine="555"/>
        <w:rPr>
          <w:rFonts w:eastAsia="仿宋_GB2312"/>
          <w:kern w:val="0"/>
          <w:sz w:val="32"/>
          <w:szCs w:val="32"/>
        </w:rPr>
      </w:pPr>
      <w:r>
        <w:rPr>
          <w:rFonts w:eastAsia="仿宋_GB2312"/>
          <w:kern w:val="0"/>
          <w:sz w:val="32"/>
          <w:szCs w:val="32"/>
        </w:rPr>
        <w:t>评价依据：支撑毕业要求的课程目标达成评价结果。</w:t>
      </w:r>
    </w:p>
    <w:p w14:paraId="68A5EF50">
      <w:pPr>
        <w:widowControl/>
        <w:spacing w:line="270" w:lineRule="atLeast"/>
        <w:ind w:firstLine="555"/>
        <w:rPr>
          <w:rFonts w:eastAsia="仿宋_GB2312"/>
          <w:kern w:val="0"/>
          <w:sz w:val="32"/>
          <w:szCs w:val="32"/>
        </w:rPr>
      </w:pPr>
      <w:r>
        <w:rPr>
          <w:rFonts w:eastAsia="仿宋_GB2312"/>
          <w:kern w:val="0"/>
          <w:sz w:val="32"/>
          <w:szCs w:val="32"/>
        </w:rPr>
        <w:t>评价流程：</w:t>
      </w:r>
    </w:p>
    <w:p w14:paraId="6DF44634">
      <w:pPr>
        <w:widowControl/>
        <w:spacing w:line="270" w:lineRule="atLeast"/>
        <w:ind w:firstLine="555"/>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w:t>
      </w:r>
      <w:r>
        <w:rPr>
          <w:rFonts w:eastAsia="仿宋_GB2312"/>
          <w:kern w:val="0"/>
          <w:sz w:val="32"/>
          <w:szCs w:val="32"/>
        </w:rPr>
        <w:t>权重分配</w:t>
      </w:r>
    </w:p>
    <w:p w14:paraId="3A2E9BF9">
      <w:pPr>
        <w:widowControl/>
        <w:spacing w:line="270" w:lineRule="atLeast"/>
        <w:ind w:firstLine="555"/>
        <w:rPr>
          <w:rFonts w:eastAsia="仿宋_GB2312"/>
          <w:kern w:val="0"/>
          <w:sz w:val="32"/>
          <w:szCs w:val="32"/>
        </w:rPr>
      </w:pPr>
      <w:r>
        <w:rPr>
          <w:rFonts w:eastAsia="仿宋_GB2312"/>
          <w:kern w:val="0"/>
          <w:sz w:val="32"/>
          <w:szCs w:val="32"/>
        </w:rPr>
        <w:t>由专业教学指导委员会对支撑各条毕业要求的课程进行权重分配，支撑各条毕业要求二级指标点的所有课程权重之和须为1；权重分配应按照该课程对毕业要求能力达成的贡献度进行赋值。</w:t>
      </w:r>
    </w:p>
    <w:p w14:paraId="64C6A5CB">
      <w:pPr>
        <w:widowControl/>
        <w:spacing w:line="270" w:lineRule="atLeast"/>
        <w:ind w:firstLine="555"/>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w:t>
      </w:r>
      <w:r>
        <w:rPr>
          <w:rFonts w:eastAsia="仿宋_GB2312"/>
          <w:kern w:val="0"/>
          <w:sz w:val="32"/>
          <w:szCs w:val="32"/>
        </w:rPr>
        <w:t>计算各项毕业要求指标点的达成评价值</w:t>
      </w:r>
    </w:p>
    <w:p w14:paraId="20CE441C">
      <w:pPr>
        <w:widowControl/>
        <w:spacing w:line="270" w:lineRule="atLeast"/>
        <w:ind w:firstLine="555"/>
        <w:rPr>
          <w:rFonts w:eastAsia="仿宋_GB2312"/>
          <w:kern w:val="0"/>
          <w:sz w:val="32"/>
          <w:szCs w:val="32"/>
        </w:rPr>
      </w:pPr>
      <w:r>
        <w:rPr>
          <w:rFonts w:eastAsia="仿宋_GB2312"/>
          <w:kern w:val="0"/>
          <w:sz w:val="32"/>
          <w:szCs w:val="32"/>
        </w:rPr>
        <w:t>根据各门课程中的课程目标所支撑的各项毕业要求二级指标点的达成评价值，该二级指标达成评价值D计算公式如下所示。</w:t>
      </w:r>
    </w:p>
    <w:p w14:paraId="17F84D49">
      <w:pPr>
        <w:jc w:val="center"/>
        <w:rPr>
          <w:rFonts w:eastAsia="仿宋"/>
          <w:sz w:val="24"/>
        </w:rPr>
      </w:pPr>
      <m:oMathPara>
        <m:oMath>
          <m:r>
            <m:rPr/>
            <w:rPr>
              <w:rFonts w:hint="default" w:ascii="Cambria Math" w:hAnsi="Cambria Math" w:eastAsia="仿宋"/>
              <w:sz w:val="24"/>
            </w:rPr>
            <m:t>D</m:t>
          </m:r>
          <m:r>
            <m:rPr>
              <m:sty m:val="p"/>
            </m:rPr>
            <w:rPr>
              <w:rFonts w:hint="default" w:ascii="Cambria Math" w:hAnsi="Cambria Math" w:eastAsia="仿宋"/>
              <w:sz w:val="24"/>
            </w:rPr>
            <m:t>=</m:t>
          </m:r>
          <m:nary>
            <m:naryPr>
              <m:chr m:val="∑"/>
              <m:limLoc m:val="undOvr"/>
              <m:ctrlPr>
                <w:rPr>
                  <w:rFonts w:hint="default" w:ascii="Cambria Math" w:hAnsi="Cambria Math" w:eastAsia="仿宋"/>
                  <w:sz w:val="24"/>
                </w:rPr>
              </m:ctrlPr>
            </m:naryPr>
            <m:sub>
              <m:r>
                <m:rPr/>
                <w:rPr>
                  <w:rFonts w:hint="default" w:ascii="Cambria Math" w:hAnsi="Cambria Math" w:eastAsia="仿宋"/>
                  <w:sz w:val="24"/>
                </w:rPr>
                <m:t>1</m:t>
              </m:r>
              <m:ctrlPr>
                <w:rPr>
                  <w:rFonts w:hint="default" w:ascii="Cambria Math" w:hAnsi="Cambria Math" w:eastAsia="仿宋"/>
                  <w:sz w:val="24"/>
                </w:rPr>
              </m:ctrlPr>
            </m:sub>
            <m:sup>
              <m:r>
                <m:rPr/>
                <w:rPr>
                  <w:rFonts w:hint="default" w:ascii="Cambria Math" w:hAnsi="Cambria Math" w:eastAsia="仿宋"/>
                  <w:sz w:val="24"/>
                </w:rPr>
                <m:t>M</m:t>
              </m:r>
              <m:ctrlPr>
                <w:rPr>
                  <w:rFonts w:hint="default" w:ascii="Cambria Math" w:hAnsi="Cambria Math" w:eastAsia="仿宋"/>
                  <w:sz w:val="24"/>
                </w:rPr>
              </m:ctrlPr>
            </m:sup>
            <m:e>
              <m:sSub>
                <m:sSubPr>
                  <m:ctrlPr>
                    <w:rPr>
                      <w:rFonts w:hint="default" w:ascii="Cambria Math" w:hAnsi="Cambria Math" w:eastAsia="仿宋"/>
                      <w:sz w:val="24"/>
                    </w:rPr>
                  </m:ctrlPr>
                </m:sSubPr>
                <m:e>
                  <m:r>
                    <m:rPr/>
                    <w:rPr>
                      <w:rFonts w:hint="default" w:ascii="Cambria Math" w:hAnsi="Cambria Math" w:eastAsia="仿宋"/>
                      <w:sz w:val="24"/>
                    </w:rPr>
                    <m:t>W</m:t>
                  </m:r>
                  <m:ctrlPr>
                    <w:rPr>
                      <w:rFonts w:hint="default" w:ascii="Cambria Math" w:hAnsi="Cambria Math" w:eastAsia="仿宋"/>
                      <w:sz w:val="24"/>
                    </w:rPr>
                  </m:ctrlPr>
                </m:e>
                <m:sub>
                  <m:r>
                    <m:rPr>
                      <m:sty m:val="p"/>
                    </m:rPr>
                    <w:rPr>
                      <w:rFonts w:hint="default" w:ascii="Cambria Math" w:hAnsi="Cambria Math" w:eastAsia="仿宋"/>
                      <w:sz w:val="24"/>
                    </w:rPr>
                    <m:t>i</m:t>
                  </m:r>
                  <m:ctrlPr>
                    <w:rPr>
                      <w:rFonts w:hint="default" w:ascii="Cambria Math" w:hAnsi="Cambria Math" w:eastAsia="仿宋"/>
                      <w:sz w:val="24"/>
                    </w:rPr>
                  </m:ctrlPr>
                </m:sub>
              </m:sSub>
              <m:r>
                <m:rPr/>
                <w:rPr>
                  <w:rFonts w:hint="default" w:ascii="Cambria Math" w:hAnsi="Cambria Math" w:eastAsia="仿宋"/>
                  <w:sz w:val="24"/>
                </w:rPr>
                <m:t>∙</m:t>
              </m:r>
              <m:sSub>
                <m:sSubPr>
                  <m:ctrlPr>
                    <w:rPr>
                      <w:rFonts w:hint="default" w:ascii="Cambria Math" w:hAnsi="Cambria Math" w:eastAsia="仿宋"/>
                      <w:sz w:val="24"/>
                    </w:rPr>
                  </m:ctrlPr>
                </m:sSubPr>
                <m:e>
                  <m:r>
                    <m:rPr/>
                    <w:rPr>
                      <w:rFonts w:hint="default" w:ascii="Cambria Math" w:hAnsi="Cambria Math" w:eastAsia="仿宋"/>
                      <w:sz w:val="24"/>
                    </w:rPr>
                    <m:t>P</m:t>
                  </m:r>
                  <m:ctrlPr>
                    <w:rPr>
                      <w:rFonts w:hint="default" w:ascii="Cambria Math" w:hAnsi="Cambria Math" w:eastAsia="仿宋"/>
                      <w:sz w:val="24"/>
                    </w:rPr>
                  </m:ctrlPr>
                </m:e>
                <m:sub>
                  <m:r>
                    <m:rPr>
                      <m:sty m:val="p"/>
                    </m:rPr>
                    <w:rPr>
                      <w:rFonts w:hint="default" w:ascii="Cambria Math" w:hAnsi="Cambria Math" w:eastAsia="仿宋"/>
                      <w:sz w:val="24"/>
                    </w:rPr>
                    <m:t>i</m:t>
                  </m:r>
                  <m:ctrlPr>
                    <w:rPr>
                      <w:rFonts w:hint="default" w:ascii="Cambria Math" w:hAnsi="Cambria Math" w:eastAsia="仿宋"/>
                      <w:sz w:val="24"/>
                    </w:rPr>
                  </m:ctrlPr>
                </m:sub>
              </m:sSub>
              <m:ctrlPr>
                <w:rPr>
                  <w:rFonts w:hint="default" w:ascii="Cambria Math" w:hAnsi="Cambria Math" w:eastAsia="仿宋"/>
                  <w:sz w:val="24"/>
                </w:rPr>
              </m:ctrlPr>
            </m:e>
          </m:nary>
        </m:oMath>
      </m:oMathPara>
    </w:p>
    <w:p w14:paraId="5310B653">
      <w:pPr>
        <w:spacing w:line="360" w:lineRule="auto"/>
        <w:rPr>
          <w:rFonts w:eastAsia="仿宋_GB2312"/>
          <w:kern w:val="0"/>
          <w:sz w:val="32"/>
          <w:szCs w:val="32"/>
        </w:rPr>
      </w:pPr>
      <w:r>
        <w:rPr>
          <w:rFonts w:eastAsia="仿宋_GB2312"/>
          <w:kern w:val="0"/>
          <w:sz w:val="32"/>
          <w:szCs w:val="32"/>
        </w:rPr>
        <w:t>式中，Wi为课程对该指标点的支撑权重，其中</w:t>
      </w:r>
      <w:r>
        <w:rPr>
          <w:rFonts w:eastAsia="仿宋_GB2312"/>
          <w:kern w:val="0"/>
          <w:sz w:val="32"/>
          <w:szCs w:val="32"/>
        </w:rPr>
        <w:object>
          <v:shape id="_x0000_i1025" o:spt="75" type="#_x0000_t75" style="height:36.65pt;width:54.65pt;" o:ole="t" filled="f" o:preferrelative="t" stroked="f" coordsize="21600,21600">
            <v:path/>
            <v:fill on="f" focussize="0,0"/>
            <v:stroke on="f" joinstyle="miter"/>
            <v:imagedata r:id="rId6" o:title=""/>
            <o:lock v:ext="edit" aspectratio="t"/>
            <w10:wrap type="none"/>
            <w10:anchorlock/>
          </v:shape>
          <o:OLEObject Type="Embed" ProgID="Equation.AxMath" ShapeID="_x0000_i1025" DrawAspect="Content" ObjectID="_1468075725" r:id="rId5">
            <o:LockedField>false</o:LockedField>
          </o:OLEObject>
        </w:object>
      </w:r>
      <w:r>
        <w:rPr>
          <w:rFonts w:eastAsia="仿宋_GB2312"/>
          <w:kern w:val="0"/>
          <w:sz w:val="32"/>
          <w:szCs w:val="32"/>
        </w:rPr>
        <w:t>；Pi为课程达成评价值评价值。</w:t>
      </w:r>
    </w:p>
    <w:p w14:paraId="33A0A5C6">
      <w:pPr>
        <w:spacing w:line="360" w:lineRule="auto"/>
        <w:ind w:firstLine="640" w:firstLineChars="200"/>
        <w:jc w:val="left"/>
        <w:rPr>
          <w:rFonts w:eastAsia="仿宋_GB2312"/>
          <w:kern w:val="0"/>
          <w:sz w:val="32"/>
          <w:szCs w:val="32"/>
        </w:rPr>
      </w:pPr>
      <w:r>
        <w:rPr>
          <w:rFonts w:eastAsia="仿宋_GB2312"/>
          <w:kern w:val="0"/>
          <w:sz w:val="32"/>
          <w:szCs w:val="32"/>
        </w:rPr>
        <w:t>该毕业要求一级指标点的评价结果E为各二级指标点与其支撑权重Bi乘积之和，其中：</w:t>
      </w:r>
      <m:oMath>
        <m:nary>
          <m:naryPr>
            <m:chr m:val="∑"/>
            <m:limLoc m:val="undOvr"/>
            <m:subHide m:val="1"/>
            <m:supHide m:val="1"/>
            <m:ctrlPr>
              <w:rPr>
                <w:rFonts w:hint="default" w:ascii="Cambria Math" w:hAnsi="Cambria Math" w:eastAsia="仿宋_GB2312"/>
                <w:kern w:val="0"/>
                <w:sz w:val="32"/>
                <w:szCs w:val="32"/>
              </w:rPr>
            </m:ctrlPr>
          </m:naryPr>
          <m:sub>
            <m:ctrlPr>
              <w:rPr>
                <w:rFonts w:hint="default" w:ascii="Cambria Math" w:hAnsi="Cambria Math" w:eastAsia="仿宋_GB2312"/>
                <w:kern w:val="0"/>
                <w:sz w:val="32"/>
                <w:szCs w:val="32"/>
              </w:rPr>
            </m:ctrlPr>
          </m:sub>
          <m:sup>
            <m:ctrlPr>
              <w:rPr>
                <w:rFonts w:hint="default" w:ascii="Cambria Math" w:hAnsi="Cambria Math" w:eastAsia="仿宋_GB2312"/>
                <w:kern w:val="0"/>
                <w:sz w:val="32"/>
                <w:szCs w:val="32"/>
              </w:rPr>
            </m:ctrlPr>
          </m:sup>
          <m:e>
            <m:sSub>
              <m:sSubPr>
                <m:ctrlPr>
                  <w:rPr>
                    <w:rFonts w:hint="default" w:ascii="Cambria Math" w:hAnsi="Cambria Math" w:eastAsia="仿宋_GB2312"/>
                    <w:kern w:val="0"/>
                    <w:sz w:val="32"/>
                    <w:szCs w:val="32"/>
                  </w:rPr>
                </m:ctrlPr>
              </m:sSubPr>
              <m:e>
                <m:r>
                  <m:rPr/>
                  <w:rPr>
                    <w:rFonts w:hint="default" w:ascii="Cambria Math" w:hAnsi="Cambria Math" w:eastAsia="仿宋_GB2312"/>
                    <w:kern w:val="0"/>
                    <w:sz w:val="32"/>
                    <w:szCs w:val="32"/>
                  </w:rPr>
                  <m:t>B</m:t>
                </m:r>
                <m:ctrlPr>
                  <w:rPr>
                    <w:rFonts w:hint="default" w:ascii="Cambria Math" w:hAnsi="Cambria Math" w:eastAsia="仿宋_GB2312"/>
                    <w:kern w:val="0"/>
                    <w:sz w:val="32"/>
                    <w:szCs w:val="32"/>
                  </w:rPr>
                </m:ctrlPr>
              </m:e>
              <m:sub>
                <m:r>
                  <m:rPr/>
                  <w:rPr>
                    <w:rFonts w:hint="default" w:ascii="Cambria Math" w:hAnsi="Cambria Math" w:eastAsia="仿宋_GB2312"/>
                    <w:kern w:val="0"/>
                    <w:sz w:val="32"/>
                    <w:szCs w:val="32"/>
                  </w:rPr>
                  <m:t>i</m:t>
                </m:r>
                <m:ctrlPr>
                  <w:rPr>
                    <w:rFonts w:hint="default" w:ascii="Cambria Math" w:hAnsi="Cambria Math" w:eastAsia="仿宋_GB2312"/>
                    <w:kern w:val="0"/>
                    <w:sz w:val="32"/>
                    <w:szCs w:val="32"/>
                  </w:rPr>
                </m:ctrlPr>
              </m:sub>
            </m:sSub>
            <m:ctrlPr>
              <w:rPr>
                <w:rFonts w:hint="default" w:ascii="Cambria Math" w:hAnsi="Cambria Math" w:eastAsia="仿宋_GB2312"/>
                <w:kern w:val="0"/>
                <w:sz w:val="32"/>
                <w:szCs w:val="32"/>
              </w:rPr>
            </m:ctrlPr>
          </m:e>
        </m:nary>
      </m:oMath>
      <w:r>
        <w:rPr>
          <w:rFonts w:eastAsia="仿宋_GB2312"/>
          <w:kern w:val="0"/>
          <w:sz w:val="32"/>
          <w:szCs w:val="32"/>
        </w:rPr>
        <w:t>=1。</w:t>
      </w:r>
    </w:p>
    <w:p w14:paraId="19FAF72F">
      <w:pPr>
        <w:widowControl/>
        <w:spacing w:line="270" w:lineRule="atLeast"/>
        <w:ind w:firstLine="555"/>
        <w:rPr>
          <w:rFonts w:eastAsia="仿宋_GB2312"/>
          <w:kern w:val="0"/>
          <w:sz w:val="32"/>
          <w:szCs w:val="32"/>
        </w:rPr>
      </w:pPr>
      <w:r>
        <w:rPr>
          <w:rFonts w:eastAsia="仿宋_GB2312"/>
          <w:kern w:val="0"/>
          <w:sz w:val="32"/>
          <w:szCs w:val="32"/>
        </w:rPr>
        <w:t>根据《安徽建筑大学学位授予工作实施办法（修订）》的规定，学生被授予学士学位的必要条件之一是学</w:t>
      </w:r>
      <w:r>
        <w:rPr>
          <w:rFonts w:hint="eastAsia" w:eastAsia="仿宋_GB2312"/>
          <w:kern w:val="0"/>
          <w:sz w:val="32"/>
          <w:szCs w:val="32"/>
        </w:rPr>
        <w:t>“</w:t>
      </w:r>
      <w:r>
        <w:rPr>
          <w:rFonts w:eastAsia="仿宋_GB2312"/>
          <w:kern w:val="0"/>
          <w:sz w:val="32"/>
          <w:szCs w:val="32"/>
        </w:rPr>
        <w:t>修满本专业培养计划规定的学分，所学课程平均学分绩点≥1.80’。1.80绩点对应于百分制成绩的68分，即确定学生毕业要求达成目标值期望值为0.68。</w:t>
      </w:r>
    </w:p>
    <w:p w14:paraId="187B753F">
      <w:pPr>
        <w:widowControl/>
        <w:spacing w:line="270" w:lineRule="atLeast"/>
        <w:ind w:firstLine="555"/>
        <w:rPr>
          <w:rFonts w:eastAsia="仿宋_GB2312"/>
          <w:kern w:val="0"/>
          <w:sz w:val="32"/>
          <w:szCs w:val="32"/>
        </w:rPr>
      </w:pPr>
      <w:r>
        <w:rPr>
          <w:rFonts w:eastAsia="仿宋_GB2312"/>
          <w:kern w:val="0"/>
          <w:sz w:val="32"/>
          <w:szCs w:val="32"/>
        </w:rPr>
        <w:t>基于上述标准，若某个毕业要求二级指标点达成评价值均≥0.68，则认为该项二级指标已</w:t>
      </w:r>
      <w:r>
        <w:rPr>
          <w:rFonts w:hint="eastAsia" w:eastAsia="仿宋_GB2312"/>
          <w:kern w:val="0"/>
          <w:sz w:val="32"/>
          <w:szCs w:val="32"/>
        </w:rPr>
        <w:t>“</w:t>
      </w:r>
      <w:r>
        <w:rPr>
          <w:rFonts w:eastAsia="仿宋_GB2312"/>
          <w:kern w:val="0"/>
          <w:sz w:val="32"/>
          <w:szCs w:val="32"/>
        </w:rPr>
        <w:t>达成</w:t>
      </w:r>
      <w:r>
        <w:rPr>
          <w:rFonts w:hint="eastAsia" w:eastAsia="仿宋_GB2312"/>
          <w:kern w:val="0"/>
          <w:sz w:val="32"/>
          <w:szCs w:val="32"/>
        </w:rPr>
        <w:t>”</w:t>
      </w:r>
      <w:r>
        <w:rPr>
          <w:rFonts w:eastAsia="仿宋_GB2312"/>
          <w:kern w:val="0"/>
          <w:sz w:val="32"/>
          <w:szCs w:val="32"/>
        </w:rPr>
        <w:t>；当毕业要求的每项二级指标均已</w:t>
      </w:r>
      <w:r>
        <w:rPr>
          <w:rFonts w:hint="eastAsia" w:eastAsia="仿宋_GB2312"/>
          <w:kern w:val="0"/>
          <w:sz w:val="32"/>
          <w:szCs w:val="32"/>
        </w:rPr>
        <w:t>“</w:t>
      </w:r>
      <w:r>
        <w:rPr>
          <w:rFonts w:eastAsia="仿宋_GB2312"/>
          <w:kern w:val="0"/>
          <w:sz w:val="32"/>
          <w:szCs w:val="32"/>
        </w:rPr>
        <w:t>达成</w:t>
      </w:r>
      <w:r>
        <w:rPr>
          <w:rFonts w:hint="eastAsia" w:eastAsia="仿宋_GB2312"/>
          <w:kern w:val="0"/>
          <w:sz w:val="32"/>
          <w:szCs w:val="32"/>
        </w:rPr>
        <w:t>”</w:t>
      </w:r>
      <w:r>
        <w:rPr>
          <w:rFonts w:eastAsia="仿宋_GB2312"/>
          <w:kern w:val="0"/>
          <w:sz w:val="32"/>
          <w:szCs w:val="32"/>
        </w:rPr>
        <w:t>，则认为毕业要求总体</w:t>
      </w:r>
      <w:r>
        <w:rPr>
          <w:rFonts w:hint="eastAsia" w:eastAsia="仿宋_GB2312"/>
          <w:kern w:val="0"/>
          <w:sz w:val="32"/>
          <w:szCs w:val="32"/>
        </w:rPr>
        <w:t>“</w:t>
      </w:r>
      <w:r>
        <w:rPr>
          <w:rFonts w:eastAsia="仿宋_GB2312"/>
          <w:kern w:val="0"/>
          <w:sz w:val="32"/>
          <w:szCs w:val="32"/>
        </w:rPr>
        <w:t>达成</w:t>
      </w:r>
      <w:r>
        <w:rPr>
          <w:rFonts w:hint="eastAsia" w:eastAsia="仿宋_GB2312"/>
          <w:kern w:val="0"/>
          <w:sz w:val="32"/>
          <w:szCs w:val="32"/>
        </w:rPr>
        <w:t>”</w:t>
      </w:r>
      <w:r>
        <w:rPr>
          <w:rFonts w:eastAsia="仿宋_GB2312"/>
          <w:kern w:val="0"/>
          <w:sz w:val="32"/>
          <w:szCs w:val="32"/>
        </w:rPr>
        <w:t>。</w:t>
      </w:r>
    </w:p>
    <w:p w14:paraId="0968C49E">
      <w:pPr>
        <w:widowControl/>
        <w:spacing w:line="270" w:lineRule="atLeast"/>
        <w:ind w:firstLine="555"/>
        <w:rPr>
          <w:rFonts w:eastAsia="仿宋_GB2312"/>
          <w:kern w:val="0"/>
          <w:sz w:val="32"/>
          <w:szCs w:val="32"/>
        </w:rPr>
      </w:pPr>
      <w:r>
        <w:rPr>
          <w:rFonts w:eastAsia="仿宋_GB2312"/>
          <w:kern w:val="0"/>
          <w:sz w:val="32"/>
          <w:szCs w:val="32"/>
        </w:rPr>
        <w:t>2.基于毕业生问卷调查及调研的定性评价法</w:t>
      </w:r>
    </w:p>
    <w:p w14:paraId="2E8BBD6A">
      <w:pPr>
        <w:widowControl/>
        <w:spacing w:line="270" w:lineRule="atLeast"/>
        <w:ind w:firstLine="555"/>
        <w:rPr>
          <w:rFonts w:eastAsia="仿宋_GB2312"/>
          <w:kern w:val="0"/>
          <w:sz w:val="32"/>
          <w:szCs w:val="32"/>
        </w:rPr>
      </w:pPr>
      <w:r>
        <w:rPr>
          <w:rFonts w:eastAsia="仿宋_GB2312"/>
          <w:kern w:val="0"/>
          <w:sz w:val="32"/>
          <w:szCs w:val="32"/>
        </w:rPr>
        <w:t>该方法以定性评价为主，通过毕业生自评和用人单位外部评价的方式开展毕业要求达成情况的数据信息收集，及时总结并持续改进。</w:t>
      </w:r>
    </w:p>
    <w:p w14:paraId="61121072">
      <w:pPr>
        <w:widowControl/>
        <w:spacing w:line="270" w:lineRule="atLeast"/>
        <w:ind w:firstLine="555"/>
        <w:rPr>
          <w:rFonts w:eastAsia="仿宋_GB2312"/>
          <w:kern w:val="0"/>
          <w:sz w:val="32"/>
          <w:szCs w:val="32"/>
        </w:rPr>
      </w:pPr>
      <w:r>
        <w:rPr>
          <w:rFonts w:eastAsia="仿宋_GB2312"/>
          <w:kern w:val="0"/>
          <w:sz w:val="32"/>
          <w:szCs w:val="32"/>
        </w:rPr>
        <w:t>问卷调查法：基于向应届毕业生发放问卷，针对全部毕业要求，收集和分析学生学习体验和主观感受，判断各项毕业要求的达成情况；基于用人单位和往届毕业生发放问卷，针对全部毕业要求，收集和分析录用单位、实习单位对毕业学生能力的评价以及用人单位和往届毕业生对于个人专业能力方面的需求，了解和掌握往届毕业生的职业发展状况。</w:t>
      </w:r>
    </w:p>
    <w:p w14:paraId="66881810">
      <w:pPr>
        <w:spacing w:line="360" w:lineRule="auto"/>
        <w:ind w:firstLine="640" w:firstLineChars="200"/>
        <w:rPr>
          <w:rFonts w:eastAsia="仿宋_GB2312"/>
          <w:kern w:val="0"/>
          <w:sz w:val="32"/>
          <w:szCs w:val="32"/>
        </w:rPr>
      </w:pPr>
      <w:r>
        <w:rPr>
          <w:rFonts w:eastAsia="仿宋_GB2312"/>
          <w:kern w:val="0"/>
          <w:sz w:val="32"/>
          <w:szCs w:val="32"/>
        </w:rPr>
        <w:t>座谈交流法：基于座谈方式，随机抽选毕业生代表，现场听取学生对于培养方案改进方面的建议和课程建设方面的需求。</w:t>
      </w:r>
    </w:p>
    <w:p w14:paraId="6FA53914">
      <w:pPr>
        <w:spacing w:line="360" w:lineRule="auto"/>
        <w:ind w:firstLine="640" w:firstLineChars="200"/>
        <w:rPr>
          <w:rFonts w:eastAsia="仿宋_GB2312"/>
          <w:kern w:val="0"/>
          <w:sz w:val="32"/>
          <w:szCs w:val="32"/>
        </w:rPr>
      </w:pPr>
      <w:r>
        <w:rPr>
          <w:rFonts w:eastAsia="仿宋_GB2312"/>
          <w:kern w:val="0"/>
          <w:sz w:val="32"/>
          <w:szCs w:val="32"/>
        </w:rPr>
        <w:t>毕业要求的直接评价和间接评价的结果均为达成，则认定毕业要求达成情况评价结果达成。</w:t>
      </w:r>
    </w:p>
    <w:p w14:paraId="49604B7C">
      <w:pPr>
        <w:widowControl/>
        <w:spacing w:line="405" w:lineRule="atLeast"/>
        <w:jc w:val="left"/>
        <w:rPr>
          <w:rFonts w:eastAsia="仿宋_GB2312"/>
          <w:kern w:val="0"/>
          <w:sz w:val="32"/>
          <w:szCs w:val="32"/>
        </w:rPr>
      </w:pPr>
      <w:r>
        <w:rPr>
          <w:rFonts w:eastAsia="仿宋_GB2312"/>
          <w:kern w:val="0"/>
          <w:sz w:val="32"/>
          <w:szCs w:val="32"/>
        </w:rPr>
        <w:t>五、评价实施过程</w:t>
      </w:r>
    </w:p>
    <w:p w14:paraId="72ACE8A4">
      <w:pPr>
        <w:spacing w:line="360" w:lineRule="auto"/>
        <w:ind w:firstLine="640" w:firstLineChars="200"/>
        <w:rPr>
          <w:rFonts w:eastAsia="仿宋_GB2312"/>
          <w:kern w:val="0"/>
          <w:sz w:val="32"/>
          <w:szCs w:val="32"/>
        </w:rPr>
      </w:pPr>
      <w:r>
        <w:rPr>
          <w:rFonts w:eastAsia="仿宋_GB2312"/>
          <w:kern w:val="0"/>
          <w:sz w:val="32"/>
          <w:szCs w:val="32"/>
        </w:rPr>
        <w:t>针对上述采用的直接和简介评价方法，毕业要求达成评价值评价具体过程分为校内评价和校外评价两个环节，其中校内评价是针对应届毕业生的毕业要求达成情况进行评价，校外评价是针对毕业X年的毕业生开展毕业要求达成评价值的综合评价。两个环节的评价结果均将应用于课程体系的修订及持续改进。具体流程如下：</w:t>
      </w:r>
    </w:p>
    <w:p w14:paraId="768D9488">
      <w:pPr>
        <w:spacing w:line="360" w:lineRule="auto"/>
        <w:ind w:firstLine="640" w:firstLineChars="200"/>
        <w:rPr>
          <w:rFonts w:eastAsia="仿宋_GB2312"/>
          <w:kern w:val="0"/>
          <w:sz w:val="32"/>
          <w:szCs w:val="32"/>
        </w:rPr>
      </w:pPr>
      <w:r>
        <w:rPr>
          <w:rFonts w:eastAsia="仿宋_GB2312"/>
          <w:kern w:val="0"/>
          <w:sz w:val="32"/>
          <w:szCs w:val="32"/>
        </w:rPr>
        <w:t>（1）组建毕业要求达成评价值综合评价工作组，主要成员包括学院教学院长、专业负责人、专业系主任、课程组组长、教师代表、教学管理人员、辅导员，审定毕业要求各指标点和相关支撑课程的合理性、评价方法和评价体系，确定评价工作方案，召开评价启动会。</w:t>
      </w:r>
    </w:p>
    <w:p w14:paraId="21541DF1">
      <w:pPr>
        <w:spacing w:line="360" w:lineRule="auto"/>
        <w:ind w:firstLine="640" w:firstLineChars="200"/>
        <w:rPr>
          <w:rFonts w:eastAsia="仿宋_GB2312"/>
          <w:kern w:val="0"/>
          <w:sz w:val="32"/>
          <w:szCs w:val="32"/>
        </w:rPr>
      </w:pPr>
      <w:r>
        <w:rPr>
          <w:rFonts w:eastAsia="仿宋_GB2312"/>
          <w:kern w:val="0"/>
          <w:sz w:val="32"/>
          <w:szCs w:val="32"/>
        </w:rPr>
        <w:t>（2）应届毕业生离校前，专业负责人组织，专业系主任、课程组组长、课程负责人、教导员、学院主观学生工作书记和相关教辅机构职工参与，开展应届毕业生座谈会和问卷调查，以问卷、座谈形式对毕业要求达成评价值进行调查，统计调查结果，对毕业要求达成评价值进行定性分析。</w:t>
      </w:r>
    </w:p>
    <w:p w14:paraId="47E7AE6F">
      <w:pPr>
        <w:spacing w:line="360" w:lineRule="auto"/>
        <w:ind w:firstLine="640" w:firstLineChars="200"/>
        <w:rPr>
          <w:rFonts w:eastAsia="仿宋_GB2312"/>
          <w:kern w:val="0"/>
          <w:sz w:val="32"/>
          <w:szCs w:val="32"/>
        </w:rPr>
      </w:pPr>
      <w:r>
        <w:rPr>
          <w:rFonts w:eastAsia="仿宋_GB2312"/>
          <w:kern w:val="0"/>
          <w:sz w:val="32"/>
          <w:szCs w:val="32"/>
        </w:rPr>
        <w:t>（3）学工教师开展面向用人单位、往届毕业生的问卷调研工作，收集相关企业专家的评价意见和用人需求信息。</w:t>
      </w:r>
    </w:p>
    <w:p w14:paraId="37A8426E">
      <w:pPr>
        <w:spacing w:line="360" w:lineRule="auto"/>
        <w:ind w:firstLine="640" w:firstLineChars="200"/>
        <w:rPr>
          <w:rFonts w:eastAsia="仿宋_GB2312"/>
          <w:kern w:val="0"/>
          <w:sz w:val="32"/>
          <w:szCs w:val="32"/>
        </w:rPr>
      </w:pPr>
      <w:r>
        <w:rPr>
          <w:rFonts w:eastAsia="仿宋_GB2312"/>
          <w:kern w:val="0"/>
          <w:sz w:val="32"/>
          <w:szCs w:val="32"/>
        </w:rPr>
        <w:t>（4）课程组组长组织各课程负责人汇总应届毕业生培养方案中支撑毕业要求的所有课程的课程目标达成评价值数据；专业负责人、专业系主任组织课程教师根据毕业要求的各课程对毕业要求指标点的支撑强度，确定各个支撑课程对指标点的支撑权重，运用基于课程目标达成评价值的直接评价方法，计算各个毕业要求指标点的达成评价值。</w:t>
      </w:r>
    </w:p>
    <w:p w14:paraId="337B2581">
      <w:pPr>
        <w:spacing w:line="360" w:lineRule="auto"/>
        <w:ind w:firstLine="640" w:firstLineChars="200"/>
        <w:rPr>
          <w:rFonts w:eastAsia="仿宋_GB2312"/>
          <w:kern w:val="0"/>
          <w:sz w:val="32"/>
          <w:szCs w:val="32"/>
        </w:rPr>
      </w:pPr>
      <w:r>
        <w:rPr>
          <w:rFonts w:eastAsia="仿宋_GB2312"/>
          <w:kern w:val="0"/>
          <w:sz w:val="32"/>
          <w:szCs w:val="32"/>
        </w:rPr>
        <w:t>（5）专业负责人、专业系主任会同课程组组长、课程负责人开展毕业要求达成评价值反馈信息的分析总结工作，依据各类数据分析和调研的结果，分析学生各项能力的长处和短处，研讨并制定具体可行的专业持续改进方案，完成毕业要求达成评价值分析与持续改进报告，并提交学院审核。</w:t>
      </w:r>
    </w:p>
    <w:p w14:paraId="64B8CE9B">
      <w:pPr>
        <w:widowControl/>
        <w:spacing w:line="405" w:lineRule="atLeast"/>
        <w:ind w:firstLine="640" w:firstLineChars="200"/>
        <w:rPr>
          <w:rFonts w:eastAsia="仿宋_GB2312"/>
          <w:kern w:val="0"/>
          <w:sz w:val="32"/>
          <w:szCs w:val="32"/>
        </w:rPr>
      </w:pPr>
      <w:r>
        <w:rPr>
          <w:rFonts w:eastAsia="仿宋_GB2312"/>
          <w:kern w:val="0"/>
          <w:sz w:val="32"/>
          <w:szCs w:val="32"/>
        </w:rPr>
        <w:t>（6）学院组织相关专家审核专业毕业要求达成评价值分析与持续改进报告，并给出具体的指导意见，要求评价合理审核通过的专业依据持续改进方案对培养方案进行调整，审核不通过的专业需要继续总结提炼。</w:t>
      </w:r>
    </w:p>
    <w:p w14:paraId="34FB56D9">
      <w:pPr>
        <w:widowControl/>
        <w:spacing w:line="405" w:lineRule="atLeast"/>
        <w:rPr>
          <w:rFonts w:eastAsia="仿宋_GB2312"/>
          <w:kern w:val="0"/>
          <w:sz w:val="32"/>
          <w:szCs w:val="32"/>
        </w:rPr>
      </w:pPr>
      <w:r>
        <w:rPr>
          <w:rFonts w:eastAsia="仿宋_GB2312"/>
          <w:kern w:val="0"/>
          <w:sz w:val="32"/>
          <w:szCs w:val="32"/>
        </w:rPr>
        <w:t>六、评价结果的利用</w:t>
      </w:r>
    </w:p>
    <w:p w14:paraId="73124C4F">
      <w:pPr>
        <w:spacing w:line="360" w:lineRule="auto"/>
        <w:ind w:firstLine="640" w:firstLineChars="200"/>
        <w:rPr>
          <w:rFonts w:eastAsia="仿宋_GB2312"/>
          <w:kern w:val="0"/>
          <w:sz w:val="32"/>
          <w:szCs w:val="32"/>
        </w:rPr>
      </w:pPr>
      <w:r>
        <w:rPr>
          <w:rFonts w:eastAsia="仿宋_GB2312"/>
          <w:kern w:val="0"/>
          <w:sz w:val="32"/>
          <w:szCs w:val="32"/>
        </w:rPr>
        <w:t>（1）根据毕业要求达成评价值评价结果中反馈的问题，完善毕业要求指标点分解，调整各课程对毕业要求指标点的支撑强度，优化课程体系配置，修订培养方案。</w:t>
      </w:r>
    </w:p>
    <w:p w14:paraId="31EA7878">
      <w:pPr>
        <w:spacing w:line="360" w:lineRule="auto"/>
        <w:ind w:firstLine="640" w:firstLineChars="200"/>
        <w:rPr>
          <w:rFonts w:eastAsia="仿宋_GB2312"/>
          <w:kern w:val="0"/>
          <w:sz w:val="32"/>
          <w:szCs w:val="32"/>
        </w:rPr>
      </w:pPr>
      <w:r>
        <w:rPr>
          <w:rFonts w:eastAsia="仿宋_GB2312"/>
          <w:kern w:val="0"/>
          <w:sz w:val="32"/>
          <w:szCs w:val="32"/>
        </w:rPr>
        <w:t>（2）对于毕业要求达成评价值不理想的指标点，分析其支撑课程的能力培养过程和教学内容、教学方法和教学环节的改进措施，经研究讨论后，修订教学大纲并在下一轮教学中实施。</w:t>
      </w:r>
    </w:p>
    <w:p w14:paraId="14312E21">
      <w:pPr>
        <w:spacing w:line="360" w:lineRule="auto"/>
        <w:ind w:firstLine="640" w:firstLineChars="200"/>
        <w:rPr>
          <w:rFonts w:eastAsia="仿宋_GB2312"/>
          <w:kern w:val="0"/>
          <w:sz w:val="32"/>
          <w:szCs w:val="32"/>
        </w:rPr>
      </w:pPr>
      <w:r>
        <w:rPr>
          <w:rFonts w:eastAsia="仿宋_GB2312"/>
          <w:kern w:val="0"/>
          <w:sz w:val="32"/>
          <w:szCs w:val="32"/>
        </w:rPr>
        <w:t>（3）根据毕业达成评价值的评价结果，就师资、管理、支撑条件等各方面问题向学院、学校提出持续改进建议。</w:t>
      </w:r>
    </w:p>
    <w:p w14:paraId="015224C4">
      <w:pPr>
        <w:widowControl/>
        <w:spacing w:line="270" w:lineRule="atLeast"/>
        <w:ind w:firstLine="555"/>
        <w:rPr>
          <w:rFonts w:eastAsia="仿宋_GB2312"/>
          <w:kern w:val="0"/>
          <w:sz w:val="32"/>
          <w:szCs w:val="32"/>
        </w:rPr>
      </w:pPr>
    </w:p>
    <w:p w14:paraId="2E8EEF40">
      <w:pPr>
        <w:widowControl/>
        <w:spacing w:line="207" w:lineRule="atLeast"/>
        <w:jc w:val="right"/>
        <w:rPr>
          <w:rFonts w:eastAsia="仿宋_GB2312"/>
          <w:kern w:val="0"/>
          <w:sz w:val="32"/>
          <w:szCs w:val="32"/>
        </w:rPr>
      </w:pPr>
      <w:r>
        <w:rPr>
          <w:rFonts w:eastAsia="仿宋_GB2312"/>
          <w:kern w:val="0"/>
          <w:sz w:val="32"/>
          <w:szCs w:val="32"/>
        </w:rPr>
        <w:t>土木工程学院</w:t>
      </w:r>
    </w:p>
    <w:p w14:paraId="381680F8">
      <w:pPr>
        <w:widowControl/>
        <w:spacing w:line="207" w:lineRule="atLeast"/>
        <w:jc w:val="right"/>
        <w:rPr>
          <w:rFonts w:eastAsia="仿宋_GB2312"/>
          <w:kern w:val="0"/>
          <w:sz w:val="32"/>
          <w:szCs w:val="32"/>
        </w:rPr>
      </w:pPr>
      <w:r>
        <w:rPr>
          <w:rFonts w:eastAsia="仿宋_GB2312"/>
          <w:kern w:val="0"/>
          <w:sz w:val="32"/>
          <w:szCs w:val="32"/>
        </w:rPr>
        <w:t>2019年12月6日</w:t>
      </w:r>
    </w:p>
    <w:p w14:paraId="34F5FF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D1CF1"/>
    <w:rsid w:val="422D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2025-08-17T09:45:00Z</dcterms:created>
  <dc:creator>Whatever</dc:creator>
  <cp:lastModifiedBy>Whatever</cp:lastModifiedBy>
  <dcterms:modified xsi:type="dcterms:W3CDTF">2025-08-17T09:47:01Z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9E16E2FFCC58420B93CDBC24F77422A5_11</vt:lpwstr>
  </property>
  <property fmtid="{D5CDD505-2E9C-101B-9397-08002B2CF9AE}" pid="4" name="KSOTemplateDocerSaveRecord">
    <vt:lpwstr>eyJoZGlkIjoiY2NkZTg4ODY3NjY0MzNiNTM5MDQxZDc0YjljNDhmYTMiLCJ1c2VySWQiOiIyNDU5NjgwNzUifQ==</vt:lpwstr>
  </property>
</Properties>
</file>