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C21">
      <w:pPr>
        <w:spacing w:line="560" w:lineRule="exact"/>
        <w:jc w:val="center"/>
        <w:rPr>
          <w:b/>
          <w:sz w:val="44"/>
          <w:szCs w:val="44"/>
        </w:rPr>
      </w:pPr>
      <w:r>
        <w:rPr>
          <w:rFonts w:hint="eastAsia"/>
          <w:b/>
          <w:sz w:val="44"/>
          <w:szCs w:val="44"/>
        </w:rPr>
        <w:t>安徽建筑大学“通源”奖学金</w:t>
      </w:r>
    </w:p>
    <w:p w14:paraId="58BA9F36">
      <w:pPr>
        <w:spacing w:line="560" w:lineRule="exact"/>
        <w:jc w:val="center"/>
        <w:rPr>
          <w:b/>
          <w:sz w:val="44"/>
          <w:szCs w:val="44"/>
        </w:rPr>
      </w:pPr>
      <w:r>
        <w:rPr>
          <w:rFonts w:hint="eastAsia"/>
          <w:b/>
          <w:sz w:val="44"/>
          <w:szCs w:val="44"/>
        </w:rPr>
        <w:t>评定办法</w:t>
      </w:r>
    </w:p>
    <w:p w14:paraId="05D19DC6">
      <w:pPr>
        <w:spacing w:line="560" w:lineRule="exact"/>
        <w:jc w:val="center"/>
        <w:rPr>
          <w:b/>
          <w:sz w:val="44"/>
          <w:szCs w:val="44"/>
        </w:rPr>
      </w:pPr>
    </w:p>
    <w:p w14:paraId="669F68B4">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及《安徽省通源环境节能股份有限公司与安徽建筑大学关于设立“通源”奖学金协议书》等文件精神，安徽省通源环境节能股份有限公司</w:t>
      </w:r>
      <w:r>
        <w:rPr>
          <w:rFonts w:hint="eastAsia" w:ascii="宋体" w:hAnsi="宋体"/>
          <w:sz w:val="30"/>
          <w:szCs w:val="30"/>
        </w:rPr>
        <w:t>自2019年起分10年捐资100万元，在我校设立</w:t>
      </w:r>
      <w:r>
        <w:rPr>
          <w:rFonts w:hint="eastAsia" w:ascii="宋体" w:hAnsi="宋体"/>
          <w:color w:val="262626"/>
          <w:sz w:val="30"/>
          <w:szCs w:val="30"/>
        </w:rPr>
        <w:t>“通源”奖学金</w:t>
      </w:r>
      <w:r>
        <w:rPr>
          <w:rFonts w:hint="eastAsia" w:ascii="宋体" w:hAnsi="宋体"/>
          <w:sz w:val="30"/>
          <w:szCs w:val="30"/>
        </w:rPr>
        <w:t>。为做好奖学金评定工作，制定本办法。</w:t>
      </w:r>
    </w:p>
    <w:p w14:paraId="6CE6CD96">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14:paraId="052F5713">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“通源”奖学金评定范围为在校品学兼优的二年级及以上全日制本科在籍学生。</w:t>
      </w:r>
    </w:p>
    <w:p w14:paraId="7D1741DE">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14:paraId="02FEFAC9">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“通源”奖学金每年奖励20人，每人每年5000元。获奖名额由学生处在每年的评定通知中轮流分配到学院。</w:t>
      </w:r>
    </w:p>
    <w:p w14:paraId="393DA320">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14:paraId="3DC021F6">
      <w:pPr>
        <w:widowControl/>
        <w:spacing w:line="560" w:lineRule="exact"/>
        <w:ind w:firstLine="750" w:firstLineChars="250"/>
        <w:jc w:val="left"/>
        <w:rPr>
          <w:rFonts w:ascii="宋体" w:hAnsi="宋体"/>
          <w:color w:val="000000"/>
          <w:kern w:val="0"/>
          <w:sz w:val="30"/>
          <w:szCs w:val="30"/>
        </w:rPr>
      </w:pPr>
      <w:r>
        <w:rPr>
          <w:rFonts w:hint="eastAsia" w:ascii="宋体" w:hAnsi="宋体"/>
          <w:color w:val="000000"/>
          <w:kern w:val="0"/>
          <w:sz w:val="30"/>
          <w:szCs w:val="30"/>
        </w:rPr>
        <w:t>1、遵纪守法、勤俭节约。</w:t>
      </w:r>
    </w:p>
    <w:p w14:paraId="2CB2E38E">
      <w:pPr>
        <w:widowControl/>
        <w:spacing w:line="560" w:lineRule="exact"/>
        <w:ind w:firstLine="750" w:firstLineChars="250"/>
        <w:jc w:val="left"/>
        <w:rPr>
          <w:rFonts w:ascii="宋体" w:hAnsi="宋体"/>
          <w:color w:val="000000"/>
          <w:kern w:val="0"/>
          <w:sz w:val="30"/>
          <w:szCs w:val="30"/>
        </w:rPr>
      </w:pPr>
      <w:r>
        <w:rPr>
          <w:rFonts w:hint="eastAsia" w:ascii="宋体" w:hAnsi="宋体"/>
          <w:color w:val="000000"/>
          <w:kern w:val="0"/>
          <w:sz w:val="30"/>
          <w:szCs w:val="30"/>
        </w:rPr>
        <w:t>2、学习认真、刻苦努力、成绩优秀。</w:t>
      </w:r>
    </w:p>
    <w:p w14:paraId="4F9F639D">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14:paraId="6865A021">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、“通源”奖学金遵循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14:paraId="5426B7BA">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、各学院负责“通源”奖学金评定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14:paraId="4AA1B6EC">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14:paraId="7257AD84">
      <w:pPr>
        <w:widowControl/>
        <w:spacing w:line="560" w:lineRule="exact"/>
        <w:ind w:firstLine="594" w:firstLineChars="198"/>
        <w:jc w:val="left"/>
        <w:rPr>
          <w:rFonts w:ascii="宋体" w:hAnsi="宋体" w:cs="宋体"/>
          <w:color w:val="000000"/>
          <w:kern w:val="0"/>
          <w:sz w:val="30"/>
          <w:szCs w:val="30"/>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14:paraId="45F8F879">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1</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14:paraId="6EC6781B">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14:paraId="60E4D42B">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3</w:t>
      </w:r>
      <w:bookmarkStart w:id="0" w:name="_GoBack"/>
      <w:bookmarkEnd w:id="0"/>
      <w:r>
        <w:rPr>
          <w:rFonts w:hint="eastAsia" w:ascii="宋体" w:hAnsi="宋体" w:cs="宋体"/>
          <w:color w:val="000000"/>
          <w:kern w:val="0"/>
          <w:sz w:val="30"/>
          <w:szCs w:val="30"/>
        </w:rPr>
        <w:t>、本细则自颁布之日起施行，由学生处负责解释。</w:t>
      </w:r>
    </w:p>
    <w:p w14:paraId="3F082E17">
      <w:pPr>
        <w:widowControl/>
        <w:spacing w:line="560" w:lineRule="exact"/>
        <w:ind w:firstLine="600" w:firstLineChars="200"/>
        <w:jc w:val="left"/>
        <w:rPr>
          <w:rFonts w:ascii="宋体" w:hAnsi="宋体" w:cs="宋体"/>
          <w:color w:val="000000"/>
          <w:kern w:val="0"/>
          <w:sz w:val="30"/>
          <w:szCs w:val="30"/>
        </w:rPr>
      </w:pPr>
    </w:p>
    <w:p w14:paraId="56A6FB75">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E604F"/>
    <w:rsid w:val="00300B6B"/>
    <w:rsid w:val="003511E1"/>
    <w:rsid w:val="00F8486E"/>
    <w:rsid w:val="04FD4634"/>
    <w:rsid w:val="0DCD5ABB"/>
    <w:rsid w:val="270952D5"/>
    <w:rsid w:val="3F3567C9"/>
    <w:rsid w:val="4D8370C0"/>
    <w:rsid w:val="55B14786"/>
    <w:rsid w:val="7921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609</Words>
  <Characters>623</Characters>
  <Lines>4</Lines>
  <Paragraphs>1</Paragraphs>
  <TotalTime>2</TotalTime>
  <ScaleCrop>false</ScaleCrop>
  <LinksUpToDate>false</LinksUpToDate>
  <CharactersWithSpaces>623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DELL</cp:lastModifiedBy>
  <dcterms:modified xsi:type="dcterms:W3CDTF">2025-09-19T07:54:33Z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eyJoZGlkIjoiODc3ZGI5M2ZiM2I0YjBmMGUxYzAzODg1NDIyMjAxNGUiLCJ1c2VySWQiOiI1MzQ4MTYzMDAifQ==</vt:lpwstr>
  </property>
  <property fmtid="{D5CDD505-2E9C-101B-9397-08002B2CF9AE}" pid="4" name="ICV">
    <vt:lpwstr>5DBA5293367E450487CC0BF94F842DDE_12</vt:lpwstr>
  </property>
</Properties>
</file>