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4ED10">
      <w:pPr>
        <w:jc w:val="center"/>
        <w:rPr>
          <w:rFonts w:hint="eastAsia" w:ascii="微软雅黑" w:eastAsia="微软雅黑" w:cs="微软雅黑"/>
          <w:b/>
          <w:bCs w:val="0"/>
          <w:color w:val="FF0000"/>
          <w:sz w:val="72"/>
          <w:szCs w:val="72"/>
        </w:rPr>
      </w:pPr>
      <w:r>
        <w:rPr>
          <w:rFonts w:hint="eastAsia" w:ascii="微软雅黑" w:eastAsia="微软雅黑" w:cs="微软雅黑"/>
          <w:b/>
          <w:bCs w:val="0"/>
          <w:color w:val="FF0000"/>
          <w:sz w:val="72"/>
          <w:szCs w:val="72"/>
        </w:rPr>
        <w:t>安徽省教育基本建设学会</w:t>
      </w:r>
    </w:p>
    <w:p w14:paraId="1123A006">
      <w:pPr>
        <w:jc w:val="center"/>
        <w:rPr>
          <w:rFonts w:hint="eastAsia" w:ascii="楷体_GB2312" w:eastAsia="楷体_GB2312"/>
          <w:b/>
          <w:bCs/>
          <w:color w:val="FF0000"/>
          <w:sz w:val="128"/>
          <w:szCs w:val="128"/>
        </w:rPr>
      </w:pPr>
      <w:r>
        <w:rPr>
          <w:rFonts w:hint="eastAsia" w:ascii="楷体_GB2312" w:eastAsia="楷体_GB2312"/>
          <w:b/>
          <w:bCs/>
          <w:color w:val="FF0000"/>
          <w:sz w:val="128"/>
          <w:szCs w:val="128"/>
        </w:rPr>
        <w:t>简  报</w:t>
      </w:r>
    </w:p>
    <w:p w14:paraId="286DB072">
      <w:pPr>
        <w:jc w:val="center"/>
        <w:rPr>
          <w:rFonts w:hint="eastAsia" w:ascii="黑体" w:eastAsia="黑体" w:cs="黑体"/>
          <w:b w:val="0"/>
          <w:bCs w:val="0"/>
          <w:sz w:val="28"/>
          <w:szCs w:val="28"/>
        </w:rPr>
      </w:pPr>
      <w:r>
        <w:rPr>
          <w:rFonts w:hint="eastAsia" w:ascii="黑体" w:eastAsia="黑体" w:cs="黑体"/>
          <w:b/>
          <w:bCs/>
          <w:sz w:val="28"/>
          <w:szCs w:val="28"/>
        </w:rPr>
        <w:t>20</w:t>
      </w:r>
      <w:r>
        <w:rPr>
          <w:rFonts w:hint="eastAsia" w:ascii="黑体" w:eastAsia="黑体" w:cs="黑体"/>
          <w:b/>
          <w:bCs/>
          <w:sz w:val="28"/>
          <w:szCs w:val="28"/>
          <w:lang w:val="en-US" w:eastAsia="zh-CN"/>
        </w:rPr>
        <w:t>24</w:t>
      </w:r>
      <w:r>
        <w:rPr>
          <w:rFonts w:hint="eastAsia" w:ascii="黑体" w:eastAsia="黑体" w:cs="黑体"/>
          <w:b/>
          <w:bCs/>
          <w:sz w:val="28"/>
          <w:szCs w:val="28"/>
        </w:rPr>
        <w:t>年第0</w:t>
      </w:r>
      <w:r>
        <w:rPr>
          <w:rFonts w:hint="eastAsia" w:ascii="黑体" w:eastAsia="黑体" w:cs="黑体"/>
          <w:b/>
          <w:bCs/>
          <w:sz w:val="28"/>
          <w:szCs w:val="28"/>
          <w:lang w:val="en-US" w:eastAsia="zh-CN"/>
        </w:rPr>
        <w:t>3</w:t>
      </w:r>
      <w:r>
        <w:rPr>
          <w:rFonts w:hint="eastAsia" w:ascii="黑体" w:eastAsia="黑体" w:cs="黑体"/>
          <w:b/>
          <w:bCs/>
          <w:sz w:val="28"/>
          <w:szCs w:val="28"/>
        </w:rPr>
        <w:t>期（总第</w:t>
      </w:r>
      <w:r>
        <w:rPr>
          <w:rFonts w:hint="eastAsia" w:ascii="黑体" w:eastAsia="黑体" w:cs="黑体"/>
          <w:b/>
          <w:bCs/>
          <w:sz w:val="28"/>
          <w:szCs w:val="28"/>
          <w:lang w:val="en-US" w:eastAsia="zh-CN"/>
        </w:rPr>
        <w:t>52</w:t>
      </w:r>
      <w:r>
        <w:rPr>
          <w:rFonts w:hint="eastAsia" w:ascii="黑体" w:eastAsia="黑体" w:cs="黑体"/>
          <w:b/>
          <w:bCs/>
          <w:sz w:val="28"/>
          <w:szCs w:val="28"/>
        </w:rPr>
        <w:t>期）</w:t>
      </w:r>
    </w:p>
    <w:p w14:paraId="48AEDBFF">
      <w:pPr>
        <w:pStyle w:val="7"/>
        <w:keepNext w:val="0"/>
        <w:keepLines w:val="0"/>
        <w:pageBreakBefore w:val="0"/>
        <w:widowControl/>
        <w:kinsoku/>
        <w:wordWrap/>
        <w:overflowPunct/>
        <w:topLinePunct w:val="0"/>
        <w:autoSpaceDE/>
        <w:autoSpaceDN/>
        <w:bidi w:val="0"/>
        <w:adjustRightInd/>
        <w:snapToGrid w:val="0"/>
        <w:spacing w:line="200" w:lineRule="atLeast"/>
        <w:ind w:firstLine="0" w:firstLineChars="0"/>
        <w:jc w:val="left"/>
        <w:textAlignment w:val="auto"/>
        <w:rPr>
          <w:rFonts w:hint="eastAsia" w:ascii="微软雅黑" w:eastAsia="微软雅黑" w:cs="微软雅黑"/>
          <w:b w:val="0"/>
          <w:bCs w:val="0"/>
          <w:sz w:val="28"/>
          <w:szCs w:val="28"/>
          <w:lang w:val="en-US" w:eastAsia="zh-CN"/>
        </w:rPr>
      </w:pPr>
      <w:r>
        <w:rPr>
          <w:rFonts w:hint="eastAsia" w:ascii="微软雅黑" w:eastAsia="微软雅黑" w:cs="微软雅黑"/>
          <w:b w:val="0"/>
          <w:bCs w:val="0"/>
          <w:sz w:val="28"/>
          <w:szCs w:val="28"/>
          <w:lang w:val="en-US" w:eastAsia="zh-CN"/>
        </w:rPr>
        <mc:AlternateContent>
          <mc:Choice Requires="wps">
            <w:drawing>
              <wp:anchor distT="0" distB="0" distL="113665" distR="113665" simplePos="0" relativeHeight="251659264" behindDoc="0" locked="0" layoutInCell="1" allowOverlap="1">
                <wp:simplePos x="0" y="0"/>
                <wp:positionH relativeFrom="column">
                  <wp:posOffset>-219075</wp:posOffset>
                </wp:positionH>
                <wp:positionV relativeFrom="paragraph">
                  <wp:posOffset>346075</wp:posOffset>
                </wp:positionV>
                <wp:extent cx="6085840" cy="635"/>
                <wp:effectExtent l="0" t="11430" r="10160" b="16510"/>
                <wp:wrapNone/>
                <wp:docPr id="4" name="直接连接符 3"/>
                <wp:cNvGraphicFramePr/>
                <a:graphic xmlns:a="http://schemas.openxmlformats.org/drawingml/2006/main">
                  <a:graphicData uri="http://schemas.microsoft.com/office/word/2010/wordprocessingShape">
                    <wps:wsp>
                      <wps:cNvCnPr/>
                      <wps:spPr>
                        <a:xfrm rot="21600000" flipV="1">
                          <a:off x="0" y="0"/>
                          <a:ext cx="6085840" cy="952"/>
                        </a:xfrm>
                        <a:prstGeom prst="line">
                          <a:avLst/>
                        </a:prstGeom>
                        <a:noFill/>
                        <a:ln w="22860" cap="flat" cmpd="sng">
                          <a:solidFill>
                            <a:srgbClr val="FF0000"/>
                          </a:solidFill>
                          <a:prstDash val="solid"/>
                          <a:round/>
                        </a:ln>
                      </wps:spPr>
                      <wps:bodyPr vert="horz" wrap="square" lIns="91440" tIns="45720" rIns="91440" bIns="45720" anchor="t" anchorCtr="0" upright="1">
                        <a:noAutofit/>
                      </wps:bodyPr>
                    </wps:wsp>
                  </a:graphicData>
                </a:graphic>
              </wp:anchor>
            </w:drawing>
          </mc:Choice>
          <mc:Fallback>
            <w:pict>
              <v:line id="直接连接符 3" o:spid="_x0000_s1026" o:spt="20" style="position:absolute;left:0pt;flip:y;margin-left:-17.25pt;margin-top:27.25pt;height:0.05pt;width:479.2pt;z-index:251659264;mso-width-relative:page;mso-height-relative:page;" filled="f" stroked="t" coordsize="21600,21600" o:gfxdata="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bczYtcAAAAJAQAADwAAAAAAAAABACAAAAAiAAAAZHJzL2Rvd25yZXYueG1s&#10;UEsBAhQAFAAAAAgAh07iQDgQUvcyAgAAQgQAAA4AAAAAAAAAAQAgAAAAJgEAAGRycy9lMm9Eb2Mu&#10;eG1sUEsFBgAAAAAGAAYAWQEAAMoFAAAAAA==&#10;">
                <v:fill on="f" focussize="0,0"/>
                <v:stroke weight="1.8pt" color="#FF0000" joinstyle="round"/>
                <v:imagedata o:title=""/>
                <o:lock v:ext="edit" aspectratio="f"/>
              </v:line>
            </w:pict>
          </mc:Fallback>
        </mc:AlternateContent>
      </w:r>
      <w:r>
        <w:rPr>
          <w:rFonts w:hint="eastAsia" w:ascii="微软雅黑" w:eastAsia="微软雅黑" w:cs="微软雅黑"/>
          <w:b w:val="0"/>
          <w:bCs w:val="0"/>
          <w:sz w:val="28"/>
          <w:szCs w:val="28"/>
          <w:lang w:val="en-US" w:eastAsia="zh-CN"/>
        </w:rPr>
        <w:t>主办：安徽省教育基本建设学会秘书处        2024年12月31日</w:t>
      </w:r>
    </w:p>
    <w:p w14:paraId="6564D434">
      <w:pPr>
        <w:keepNext w:val="0"/>
        <w:keepLines w:val="0"/>
        <w:pageBreakBefore w:val="0"/>
        <w:widowControl w:val="0"/>
        <w:kinsoku/>
        <w:wordWrap/>
        <w:overflowPunct/>
        <w:topLinePunct w:val="0"/>
        <w:autoSpaceDE/>
        <w:autoSpaceDN/>
        <w:bidi w:val="0"/>
        <w:adjustRightInd/>
        <w:snapToGrid/>
        <w:spacing w:before="156" w:beforeLines="50" w:after="156" w:afterLines="50"/>
        <w:jc w:val="center"/>
        <w:textAlignment w:val="auto"/>
        <w:rPr>
          <w:rFonts w:hint="eastAsia" w:ascii="微软雅黑" w:eastAsia="微软雅黑" w:cs="微软雅黑"/>
          <w:b/>
          <w:bCs/>
          <w:color w:val="424242"/>
          <w:kern w:val="36"/>
          <w:sz w:val="44"/>
          <w:szCs w:val="44"/>
        </w:rPr>
      </w:pPr>
      <w:r>
        <w:rPr>
          <w:rFonts w:hint="eastAsia" w:ascii="微软雅黑" w:eastAsia="微软雅黑" w:cs="微软雅黑"/>
          <w:b/>
          <w:bCs/>
          <w:color w:val="424242"/>
          <w:kern w:val="36"/>
          <w:sz w:val="44"/>
          <w:szCs w:val="44"/>
        </w:rPr>
        <w:t>目    录</w:t>
      </w:r>
    </w:p>
    <w:p w14:paraId="53F3F8A8">
      <w:pPr>
        <w:pStyle w:val="7"/>
        <w:keepNext w:val="0"/>
        <w:keepLines w:val="0"/>
        <w:pageBreakBefore w:val="0"/>
        <w:widowControl/>
        <w:kinsoku/>
        <w:wordWrap/>
        <w:overflowPunct/>
        <w:topLinePunct w:val="0"/>
        <w:autoSpaceDE/>
        <w:autoSpaceDN/>
        <w:adjustRightInd/>
        <w:snapToGrid w:val="0"/>
        <w:spacing w:line="160" w:lineRule="atLeast"/>
        <w:ind w:firstLine="0" w:firstLineChars="0"/>
        <w:jc w:val="both"/>
        <w:rPr>
          <w:rFonts w:hint="eastAsia" w:ascii="微软雅黑" w:eastAsia="微软雅黑" w:cs="微软雅黑"/>
          <w:color w:val="424242"/>
          <w:kern w:val="36"/>
          <w:sz w:val="28"/>
          <w:szCs w:val="28"/>
          <w:lang w:val="en-US" w:eastAsia="zh-CN"/>
        </w:rPr>
      </w:pPr>
      <w:r>
        <w:rPr>
          <w:rFonts w:hint="eastAsia" w:ascii="微软雅黑" w:eastAsia="微软雅黑" w:cs="微软雅黑"/>
          <w:color w:val="424242"/>
          <w:kern w:val="36"/>
          <w:sz w:val="28"/>
          <w:szCs w:val="28"/>
          <w:lang w:val="en-US" w:eastAsia="zh-CN"/>
        </w:rPr>
        <w:t>2024年安徽省基础教育基建管理业务培训班在东南大学顺利举办</w:t>
      </w:r>
      <w:r>
        <w:rPr>
          <w:rFonts w:hint="eastAsia" w:ascii="微软雅黑" w:eastAsia="微软雅黑" w:cs="微软雅黑"/>
          <w:color w:val="424242"/>
          <w:kern w:val="36"/>
          <w:sz w:val="28"/>
          <w:szCs w:val="28"/>
          <w:lang w:val="en-US"/>
        </w:rPr>
        <w:tab/>
      </w:r>
      <w:r>
        <w:rPr>
          <w:rFonts w:hint="eastAsia" w:ascii="微软雅黑" w:eastAsia="微软雅黑" w:cs="微软雅黑"/>
          <w:color w:val="424242"/>
          <w:kern w:val="36"/>
          <w:sz w:val="28"/>
          <w:szCs w:val="28"/>
          <w:lang w:val="en-US" w:eastAsia="zh-CN"/>
        </w:rPr>
        <w:t>1</w:t>
      </w:r>
    </w:p>
    <w:p w14:paraId="5ECCCF80">
      <w:pPr>
        <w:pStyle w:val="7"/>
        <w:keepNext w:val="0"/>
        <w:keepLines w:val="0"/>
        <w:pageBreakBefore w:val="0"/>
        <w:widowControl/>
        <w:kinsoku/>
        <w:wordWrap/>
        <w:overflowPunct/>
        <w:topLinePunct w:val="0"/>
        <w:autoSpaceDE/>
        <w:autoSpaceDN/>
        <w:adjustRightInd/>
        <w:snapToGrid w:val="0"/>
        <w:spacing w:line="160" w:lineRule="atLeast"/>
        <w:ind w:firstLine="0" w:firstLineChars="0"/>
        <w:jc w:val="both"/>
        <w:rPr>
          <w:rFonts w:hint="eastAsia" w:ascii="微软雅黑" w:eastAsia="微软雅黑" w:cs="微软雅黑"/>
          <w:color w:val="424242"/>
          <w:kern w:val="36"/>
          <w:sz w:val="28"/>
          <w:szCs w:val="28"/>
          <w:lang w:val="en-US" w:eastAsia="zh-CN"/>
        </w:rPr>
      </w:pPr>
      <w:r>
        <w:rPr>
          <w:rFonts w:hint="eastAsia" w:ascii="微软雅黑" w:eastAsia="微软雅黑" w:cs="微软雅黑"/>
          <w:color w:val="424242"/>
          <w:kern w:val="36"/>
          <w:sz w:val="28"/>
          <w:szCs w:val="28"/>
          <w:lang w:val="en-US" w:eastAsia="zh-CN"/>
        </w:rPr>
        <w:t>学会参加省属高校中央预算内投资项目调度工作</w:t>
      </w:r>
      <w:r>
        <w:rPr>
          <w:rFonts w:hint="eastAsia" w:ascii="微软雅黑" w:eastAsia="微软雅黑" w:cs="微软雅黑"/>
          <w:color w:val="424242"/>
          <w:kern w:val="36"/>
          <w:sz w:val="28"/>
          <w:szCs w:val="28"/>
          <w:lang w:val="en-US"/>
        </w:rPr>
        <w:tab/>
      </w:r>
      <w:r>
        <w:rPr>
          <w:rFonts w:hint="eastAsia" w:ascii="微软雅黑" w:eastAsia="微软雅黑" w:cs="微软雅黑"/>
          <w:color w:val="424242"/>
          <w:kern w:val="36"/>
          <w:sz w:val="28"/>
          <w:szCs w:val="28"/>
          <w:lang w:val="en-US" w:eastAsia="zh-CN"/>
        </w:rPr>
        <w:t>3</w:t>
      </w:r>
    </w:p>
    <w:p w14:paraId="05B2AECB">
      <w:pPr>
        <w:pStyle w:val="7"/>
        <w:keepNext w:val="0"/>
        <w:keepLines w:val="0"/>
        <w:pageBreakBefore w:val="0"/>
        <w:widowControl/>
        <w:kinsoku/>
        <w:wordWrap/>
        <w:overflowPunct/>
        <w:topLinePunct w:val="0"/>
        <w:autoSpaceDE/>
        <w:autoSpaceDN/>
        <w:adjustRightInd/>
        <w:snapToGrid w:val="0"/>
        <w:spacing w:line="160" w:lineRule="atLeast"/>
        <w:ind w:firstLine="0" w:firstLineChars="0"/>
        <w:jc w:val="both"/>
        <w:rPr>
          <w:rFonts w:hint="eastAsia" w:ascii="微软雅黑" w:eastAsia="微软雅黑" w:cs="微软雅黑"/>
          <w:color w:val="424242"/>
          <w:kern w:val="36"/>
          <w:sz w:val="28"/>
          <w:szCs w:val="28"/>
          <w:lang w:val="en-US" w:eastAsia="zh-CN"/>
        </w:rPr>
      </w:pPr>
      <w:r>
        <w:rPr>
          <w:rFonts w:hint="eastAsia" w:ascii="微软雅黑" w:eastAsia="微软雅黑" w:cs="微软雅黑"/>
          <w:color w:val="424242"/>
          <w:kern w:val="36"/>
          <w:sz w:val="28"/>
          <w:szCs w:val="28"/>
          <w:lang w:val="en-US"/>
        </w:rPr>
        <w:t>强化合作 共促发展 社会组织助力教育强省指导小组成立</w:t>
      </w:r>
      <w:r>
        <w:rPr>
          <w:rFonts w:hint="eastAsia" w:ascii="微软雅黑" w:eastAsia="微软雅黑" w:cs="微软雅黑"/>
          <w:color w:val="424242"/>
          <w:kern w:val="36"/>
          <w:sz w:val="28"/>
          <w:szCs w:val="28"/>
          <w:lang w:val="en-US"/>
        </w:rPr>
        <w:tab/>
      </w:r>
      <w:r>
        <w:rPr>
          <w:rFonts w:hint="eastAsia" w:ascii="微软雅黑" w:eastAsia="微软雅黑" w:cs="微软雅黑"/>
          <w:color w:val="424242"/>
          <w:kern w:val="36"/>
          <w:sz w:val="28"/>
          <w:szCs w:val="28"/>
          <w:lang w:val="en-US" w:eastAsia="zh-CN"/>
        </w:rPr>
        <w:t>5</w:t>
      </w:r>
    </w:p>
    <w:p w14:paraId="068269CE">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rPr>
          <w:rFonts w:hint="default" w:ascii="微软雅黑" w:eastAsia="宋体" w:cs="微软雅黑"/>
          <w:color w:val="424242"/>
          <w:kern w:val="36"/>
          <w:sz w:val="28"/>
          <w:szCs w:val="28"/>
          <w:lang w:val="en-US" w:eastAsia="zh-CN"/>
        </w:rPr>
      </w:pPr>
      <w:r>
        <w:rPr>
          <w:rFonts w:hint="eastAsia" w:ascii="微软雅黑" w:eastAsia="微软雅黑" w:cs="微软雅黑"/>
          <w:color w:val="424242"/>
          <w:kern w:val="36"/>
          <w:sz w:val="28"/>
          <w:szCs w:val="28"/>
          <w:lang w:val="en-US" w:eastAsia="zh-CN"/>
        </w:rPr>
        <w:t>学会组织在肥会员聆听吴志强院士学术报告</w:t>
      </w:r>
      <w:r>
        <w:rPr>
          <w:rFonts w:hint="eastAsia" w:ascii="微软雅黑" w:eastAsia="微软雅黑" w:cs="微软雅黑"/>
          <w:color w:val="424242"/>
          <w:kern w:val="36"/>
          <w:sz w:val="28"/>
          <w:szCs w:val="28"/>
          <w:lang w:val="en-US"/>
        </w:rPr>
        <w:tab/>
      </w:r>
      <w:r>
        <w:rPr>
          <w:rFonts w:hint="eastAsia" w:ascii="微软雅黑" w:eastAsia="宋体" w:cs="微软雅黑"/>
          <w:color w:val="424242"/>
          <w:kern w:val="36"/>
          <w:sz w:val="28"/>
          <w:szCs w:val="28"/>
          <w:lang w:val="en-US" w:eastAsia="zh-CN"/>
        </w:rPr>
        <w:t>6</w:t>
      </w:r>
    </w:p>
    <w:p w14:paraId="7D30A668">
      <w:pPr>
        <w:pStyle w:val="7"/>
        <w:keepNext w:val="0"/>
        <w:keepLines w:val="0"/>
        <w:pageBreakBefore w:val="0"/>
        <w:widowControl/>
        <w:kinsoku/>
        <w:wordWrap/>
        <w:overflowPunct/>
        <w:topLinePunct w:val="0"/>
        <w:autoSpaceDE/>
        <w:autoSpaceDN/>
        <w:adjustRightInd/>
        <w:snapToGrid w:val="0"/>
        <w:spacing w:line="240" w:lineRule="auto"/>
        <w:ind w:right="0" w:rightChars="0" w:firstLine="0" w:firstLineChars="0"/>
        <w:jc w:val="left"/>
        <w:rPr>
          <w:rFonts w:hint="default" w:ascii="微软雅黑" w:eastAsia="宋体" w:cs="微软雅黑"/>
          <w:color w:val="424242"/>
          <w:kern w:val="36"/>
          <w:sz w:val="28"/>
          <w:szCs w:val="28"/>
          <w:lang w:val="en-US" w:eastAsia="zh-CN"/>
        </w:rPr>
      </w:pPr>
      <w:r>
        <w:rPr>
          <w:rFonts w:hint="eastAsia" w:ascii="微软雅黑" w:eastAsia="微软雅黑" w:cs="微软雅黑"/>
          <w:color w:val="424242"/>
          <w:kern w:val="36"/>
          <w:sz w:val="28"/>
          <w:szCs w:val="28"/>
          <w:lang w:val="en-US" w:eastAsia="zh-CN"/>
        </w:rPr>
        <w:t>学会2022-2023年课题结题评审会在安徽建筑大学北校区举行</w:t>
      </w:r>
      <w:r>
        <w:rPr>
          <w:rFonts w:hint="eastAsia" w:ascii="微软雅黑" w:eastAsia="微软雅黑" w:cs="微软雅黑"/>
          <w:color w:val="424242"/>
          <w:kern w:val="36"/>
          <w:sz w:val="28"/>
          <w:szCs w:val="28"/>
          <w:lang w:val="en-US"/>
        </w:rPr>
        <w:tab/>
      </w:r>
      <w:r>
        <w:rPr>
          <w:rFonts w:hint="eastAsia" w:ascii="微软雅黑" w:eastAsia="宋体" w:cs="微软雅黑"/>
          <w:color w:val="424242"/>
          <w:kern w:val="36"/>
          <w:sz w:val="28"/>
          <w:szCs w:val="28"/>
          <w:lang w:val="en-US" w:eastAsia="zh-CN"/>
        </w:rPr>
        <w:t>7</w:t>
      </w:r>
    </w:p>
    <w:p w14:paraId="3F3C134E">
      <w:pPr>
        <w:pStyle w:val="7"/>
        <w:keepNext w:val="0"/>
        <w:keepLines w:val="0"/>
        <w:pageBreakBefore w:val="0"/>
        <w:widowControl/>
        <w:kinsoku/>
        <w:wordWrap/>
        <w:overflowPunct/>
        <w:topLinePunct w:val="0"/>
        <w:autoSpaceDE/>
        <w:autoSpaceDN/>
        <w:adjustRightInd/>
        <w:snapToGrid w:val="0"/>
        <w:spacing w:line="240" w:lineRule="auto"/>
        <w:ind w:right="0" w:rightChars="0" w:firstLine="0" w:firstLineChars="0"/>
        <w:jc w:val="left"/>
        <w:rPr>
          <w:rFonts w:hint="default"/>
          <w:sz w:val="28"/>
          <w:szCs w:val="28"/>
          <w:lang w:val="en-US" w:eastAsia="zh-CN"/>
        </w:rPr>
      </w:pPr>
      <w:r>
        <w:rPr>
          <w:rFonts w:hint="eastAsia" w:ascii="微软雅黑" w:eastAsia="微软雅黑" w:cs="微软雅黑"/>
          <w:color w:val="424242"/>
          <w:kern w:val="36"/>
          <w:sz w:val="28"/>
          <w:szCs w:val="28"/>
          <w:lang w:val="en-US" w:eastAsia="zh-CN"/>
        </w:rPr>
        <w:t>浙江省教育后勤基建协会来学会调研</w:t>
      </w:r>
      <w:r>
        <w:rPr>
          <w:rFonts w:hint="eastAsia" w:ascii="微软雅黑" w:eastAsia="微软雅黑" w:cs="微软雅黑"/>
          <w:color w:val="424242"/>
          <w:kern w:val="36"/>
          <w:sz w:val="28"/>
          <w:szCs w:val="28"/>
          <w:lang w:val="en-US"/>
        </w:rPr>
        <w:tab/>
      </w:r>
      <w:r>
        <w:rPr>
          <w:rFonts w:hint="eastAsia" w:ascii="微软雅黑" w:eastAsia="宋体" w:cs="微软雅黑"/>
          <w:color w:val="424242"/>
          <w:kern w:val="36"/>
          <w:sz w:val="28"/>
          <w:szCs w:val="28"/>
          <w:lang w:val="en-US" w:eastAsia="zh-CN"/>
        </w:rPr>
        <w:t>8</w:t>
      </w:r>
    </w:p>
    <w:p w14:paraId="71398F5C">
      <w:pPr>
        <w:pStyle w:val="7"/>
        <w:keepNext w:val="0"/>
        <w:keepLines w:val="0"/>
        <w:pageBreakBefore w:val="0"/>
        <w:widowControl/>
        <w:kinsoku/>
        <w:wordWrap/>
        <w:overflowPunct/>
        <w:topLinePunct w:val="0"/>
        <w:autoSpaceDE/>
        <w:autoSpaceDN/>
        <w:adjustRightInd/>
        <w:snapToGrid w:val="0"/>
        <w:spacing w:line="240" w:lineRule="auto"/>
        <w:ind w:right="0" w:rightChars="0" w:firstLine="0" w:firstLineChars="0"/>
        <w:jc w:val="left"/>
        <w:rPr>
          <w:rFonts w:hint="default"/>
          <w:sz w:val="28"/>
          <w:szCs w:val="28"/>
          <w:lang w:val="en-US" w:eastAsia="zh-CN"/>
        </w:rPr>
      </w:pPr>
      <w:r>
        <w:rPr>
          <w:rFonts w:hint="eastAsia" w:ascii="微软雅黑" w:eastAsia="微软雅黑" w:cs="微软雅黑"/>
          <w:color w:val="424242"/>
          <w:kern w:val="36"/>
          <w:sz w:val="28"/>
          <w:szCs w:val="28"/>
          <w:lang w:val="en-US"/>
        </w:rPr>
        <w:t>学会2024年学术年会暨六届四次理事在巢湖学院召开</w:t>
      </w:r>
      <w:r>
        <w:rPr>
          <w:rFonts w:hint="eastAsia" w:ascii="微软雅黑" w:eastAsia="微软雅黑" w:cs="微软雅黑"/>
          <w:color w:val="424242"/>
          <w:kern w:val="36"/>
          <w:sz w:val="28"/>
          <w:szCs w:val="28"/>
          <w:lang w:val="en-US"/>
        </w:rPr>
        <w:tab/>
      </w:r>
      <w:r>
        <w:rPr>
          <w:rFonts w:hint="eastAsia" w:ascii="微软雅黑" w:eastAsia="宋体" w:cs="微软雅黑"/>
          <w:color w:val="424242"/>
          <w:kern w:val="36"/>
          <w:sz w:val="28"/>
          <w:szCs w:val="28"/>
          <w:lang w:val="en-US" w:eastAsia="zh-CN"/>
        </w:rPr>
        <w:t>9</w:t>
      </w:r>
    </w:p>
    <w:p w14:paraId="5970BD16">
      <w:pPr>
        <w:pStyle w:val="7"/>
        <w:keepNext w:val="0"/>
        <w:keepLines w:val="0"/>
        <w:pageBreakBefore w:val="0"/>
        <w:widowControl/>
        <w:kinsoku/>
        <w:wordWrap/>
        <w:overflowPunct/>
        <w:topLinePunct w:val="0"/>
        <w:autoSpaceDE/>
        <w:autoSpaceDN/>
        <w:adjustRightInd/>
        <w:snapToGrid w:val="0"/>
        <w:spacing w:line="240" w:lineRule="auto"/>
        <w:ind w:right="0" w:rightChars="0" w:firstLine="0" w:firstLineChars="0"/>
        <w:jc w:val="left"/>
        <w:rPr>
          <w:rFonts w:hint="default"/>
          <w:sz w:val="28"/>
          <w:szCs w:val="28"/>
          <w:lang w:val="en-US" w:eastAsia="zh-CN"/>
        </w:rPr>
      </w:pPr>
      <w:r>
        <w:rPr>
          <w:rFonts w:hint="eastAsia" w:ascii="微软雅黑" w:eastAsia="微软雅黑" w:cs="微软雅黑"/>
          <w:color w:val="424242"/>
          <w:kern w:val="36"/>
          <w:sz w:val="28"/>
          <w:szCs w:val="28"/>
          <w:lang w:val="en-US"/>
        </w:rPr>
        <w:t>合工大设计院：笃行四十五载 匠心筑建未来</w:t>
      </w:r>
      <w:r>
        <w:rPr>
          <w:rFonts w:hint="eastAsia" w:ascii="微软雅黑" w:eastAsia="微软雅黑" w:cs="微软雅黑"/>
          <w:color w:val="424242"/>
          <w:kern w:val="36"/>
          <w:sz w:val="28"/>
          <w:szCs w:val="28"/>
          <w:lang w:val="en-US"/>
        </w:rPr>
        <w:tab/>
      </w:r>
      <w:r>
        <w:rPr>
          <w:rFonts w:hint="eastAsia" w:ascii="微软雅黑" w:eastAsia="宋体" w:cs="微软雅黑"/>
          <w:color w:val="424242"/>
          <w:kern w:val="36"/>
          <w:sz w:val="28"/>
          <w:szCs w:val="28"/>
          <w:lang w:val="en-US" w:eastAsia="zh-CN"/>
        </w:rPr>
        <w:t>11</w:t>
      </w:r>
    </w:p>
    <w:p w14:paraId="6664871C">
      <w:pPr>
        <w:jc w:val="center"/>
        <w:rPr>
          <w:rFonts w:hint="eastAsia"/>
          <w:b/>
          <w:bCs/>
          <w:sz w:val="36"/>
          <w:szCs w:val="36"/>
          <w:lang w:val="en-US" w:eastAsia="zh-CN"/>
        </w:rPr>
      </w:pPr>
    </w:p>
    <w:p w14:paraId="1862744B">
      <w:pPr>
        <w:jc w:val="center"/>
        <w:rPr>
          <w:rFonts w:hint="eastAsia"/>
          <w:b/>
          <w:bCs/>
          <w:sz w:val="36"/>
          <w:szCs w:val="36"/>
          <w:lang w:val="en-US" w:eastAsia="zh-CN"/>
        </w:rPr>
      </w:pPr>
    </w:p>
    <w:p w14:paraId="069DCC0B">
      <w:pPr>
        <w:jc w:val="center"/>
        <w:rPr>
          <w:rFonts w:hint="eastAsia"/>
          <w:b/>
          <w:bCs/>
          <w:sz w:val="36"/>
          <w:szCs w:val="36"/>
          <w:lang w:val="en-US" w:eastAsia="zh-CN"/>
        </w:rPr>
      </w:pPr>
    </w:p>
    <w:p w14:paraId="23C20044">
      <w:pPr>
        <w:jc w:val="center"/>
        <w:rPr>
          <w:rFonts w:hint="eastAsia"/>
          <w:b/>
          <w:bCs/>
          <w:sz w:val="36"/>
          <w:szCs w:val="36"/>
          <w:lang w:val="en-US" w:eastAsia="zh-CN"/>
        </w:rPr>
      </w:pPr>
    </w:p>
    <w:p w14:paraId="1F5DB8E9">
      <w:pPr>
        <w:jc w:val="center"/>
        <w:rPr>
          <w:rFonts w:hint="eastAsia"/>
          <w:b/>
          <w:bCs/>
          <w:sz w:val="36"/>
          <w:szCs w:val="36"/>
          <w:lang w:val="en-US" w:eastAsia="zh-CN"/>
        </w:rPr>
      </w:pPr>
    </w:p>
    <w:p w14:paraId="58CA18D8">
      <w:pPr>
        <w:jc w:val="center"/>
        <w:rPr>
          <w:rFonts w:hint="eastAsia"/>
          <w:b/>
          <w:bCs/>
          <w:sz w:val="36"/>
          <w:szCs w:val="36"/>
          <w:lang w:val="en-US" w:eastAsia="zh-CN"/>
        </w:rPr>
      </w:pPr>
    </w:p>
    <w:p w14:paraId="52A175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0" w:afterAutospacing="0" w:line="482" w:lineRule="atLeast"/>
        <w:ind w:left="0" w:right="0" w:firstLine="0" w:firstLineChars="0"/>
        <w:jc w:val="center"/>
        <w:textAlignment w:val="auto"/>
        <w:rPr>
          <w:rFonts w:hint="eastAsia"/>
          <w:b/>
          <w:bCs/>
          <w:color w:val="auto"/>
          <w:sz w:val="36"/>
          <w:szCs w:val="36"/>
          <w:lang w:val="en-US" w:eastAsia="zh-CN"/>
        </w:rPr>
        <w:sectPr>
          <w:pgSz w:w="11906" w:h="16838"/>
          <w:pgMar w:top="1440" w:right="1417" w:bottom="1440" w:left="1587" w:header="851" w:footer="992" w:gutter="0"/>
          <w:pgNumType w:start="1"/>
          <w:cols w:space="425" w:num="1"/>
          <w:docGrid w:type="lines" w:linePitch="312" w:charSpace="0"/>
        </w:sectPr>
      </w:pPr>
    </w:p>
    <w:p w14:paraId="43E17ADC">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b/>
          <w:bCs/>
          <w:color w:val="auto"/>
          <w:sz w:val="36"/>
          <w:szCs w:val="36"/>
          <w:lang w:val="en-US" w:eastAsia="zh-CN"/>
        </w:rPr>
      </w:pPr>
      <w:r>
        <w:rPr>
          <w:rFonts w:hint="eastAsia"/>
          <w:b/>
          <w:bCs/>
          <w:color w:val="auto"/>
          <w:sz w:val="36"/>
          <w:szCs w:val="36"/>
          <w:lang w:val="en-US" w:eastAsia="zh-CN"/>
        </w:rPr>
        <w:t>2024年安徽省基础教育基建管理业务</w:t>
      </w:r>
    </w:p>
    <w:p w14:paraId="4145A8A2">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b/>
          <w:bCs/>
          <w:color w:val="auto"/>
          <w:sz w:val="36"/>
          <w:szCs w:val="36"/>
          <w:lang w:val="en-US" w:eastAsia="zh-CN"/>
        </w:rPr>
      </w:pPr>
      <w:r>
        <w:rPr>
          <w:rFonts w:hint="eastAsia"/>
          <w:b/>
          <w:bCs/>
          <w:color w:val="auto"/>
          <w:sz w:val="36"/>
          <w:szCs w:val="36"/>
          <w:lang w:val="en-US" w:eastAsia="zh-CN"/>
        </w:rPr>
        <w:t>培训班在东南大学顺利举办</w:t>
      </w:r>
    </w:p>
    <w:p w14:paraId="2D6CDA1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8月6日，2024年安徽省基础教育基建管理业务培训班在东南大学四牌楼校区顺利开班。来自全省基础教育领域的100多名学员参加了本次培训，安徽省教育基本建设学会秘书长李大华教授，学会监事长、马鞍山市教育局副局长金桂兰，东南大学东南大学青年特聘教授、继续教育学院副院长张颖出席了开班仪式。  </w:t>
      </w:r>
    </w:p>
    <w:p w14:paraId="5F73A98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开班仪式由李大华主持，张颖对全体学员的到来表示诚挚欢迎。他向学员们介绍了东南大学悠久的历史，以及东南大学在学科建设、人才培养、科学研究以及服务社会等方面取得的优异成绩。他表示，本次培训是充分发挥东南大学优质教资优势，为学员们提升学校基建业务能力提供一个学习平台。希望学员们通过本次培训能够充分学到新知识、增加新经验、掌握新技能。最后他祝愿学员们在东南大学学习顺利，生活愉快。</w:t>
      </w:r>
    </w:p>
    <w:p w14:paraId="74997AD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金桂兰作开班动员讲话。为高质量完成本次培训的各项任务，他首先强调了本次培训的举办背景和意义。其次，他对参训的学员们提出三点意见：一是感谢东南大学给与本次培训班的高度重视和大力支持；二是希望全体学员本着见贤思齐、拜师学艺的姿态，学习借鉴江苏发达地区校园建设管理的理念和做法；三是要求各位学员在培训期间自觉遵守《学员手册》，展现安徽省教育领域干部队伍昂扬向上的精神风貌。最后，他预祝本次培训取得圆满成功，祝福大家学得开心、万事顺心。</w:t>
      </w:r>
    </w:p>
    <w:p w14:paraId="4E43390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 “教”学路漫漫。此次培训名师荟萃，干货满满。师资汇聚了来自东南大学建筑研究设计院、东南大学土木学院、合肥市教育局、安徽省人居环境检测中心等多位专家学者。课程内容涵盖校园规划设计实践探索、校园规划设计和建设关注要点、绿色校园设计和建设、智慧学校建设标准和指导意见、校园运动场建设和环保要求以及校园建设工程监督管理和工程概算审计协同，每一个主题都紧扣基本建设发展的脉搏。</w:t>
      </w:r>
    </w:p>
    <w:p w14:paraId="7F6FD5D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研”途皆风景。6日下午，学员们到东南大学九龙湖校区和南京师范大学附属中学江宁分校，开拓视野，更新观念，感受到了南京深厚的历史底蕴和文化积淀；7日下午，学员们走进雨花台烈士陵园，寻访红色记忆，缅怀革命先烈。</w:t>
      </w:r>
    </w:p>
    <w:p w14:paraId="054A4C0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为期三天的学习，培训班在满满的收获中落下帷幕。相信参与本次培训的工作者们将会把所学所悟带回各自的学校和单位，为安徽省学校基本建设建设注入新的活力。</w:t>
      </w:r>
    </w:p>
    <w:p w14:paraId="0FF70A3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3302D61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0EA0115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4256897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16BCE22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1802FE1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6EE719A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3D102F8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1B35CC8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1B93D3A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5748521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62AE230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4069CE0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008D118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6AA22F1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6023915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6B354D5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745226D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10D4C36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7298E46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70D0DBDC">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b/>
          <w:bCs/>
          <w:color w:val="auto"/>
          <w:sz w:val="36"/>
          <w:szCs w:val="36"/>
          <w:lang w:val="en-US" w:eastAsia="zh-CN"/>
        </w:rPr>
      </w:pPr>
      <w:r>
        <w:rPr>
          <w:rFonts w:hint="eastAsia"/>
          <w:b/>
          <w:bCs/>
          <w:color w:val="auto"/>
          <w:sz w:val="36"/>
          <w:szCs w:val="36"/>
          <w:lang w:val="en-US" w:eastAsia="zh-CN"/>
        </w:rPr>
        <w:t>学会参加省属高校中央预算内投资项目调度工作</w:t>
      </w:r>
    </w:p>
    <w:p w14:paraId="31BA8DB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8月19日至8月22日，省委教育工委、省教育厅组织专家对省属高校中央预算内投资项目开展现场调度，应省教育厅发规处要求，学会专家库成员张铮、高勇、斯方龙、李大华等参加调度工作。开展本次调度的主要目是贯彻落实中央和省委省政府关于教育领域建设项目序时进度和安全生产的有关要求，具体了解中央预算内投资项目建设进度、“五率”现状、危房处理、兑现农民工工资和项目纳统等工作情况，分析建设进度缓慢、安全管理不到位及项目纳统不及时等问题原因，进一步推进在建项目实施进度，提升安全防范意识。</w:t>
      </w:r>
    </w:p>
    <w:p w14:paraId="5BAA1C2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本次调度分两个组，分别对安徽大学龙河校区互联网学院大楼项目、安徽医科大学新医科中心（新校区）高水平公共卫生学院项目、安徽能源技术学校新能源技术与装备产教融合实训基地、安徽工业大学先进技术研究中心项目、安徽师范大学教师教育实习实训中心、安徽机电职业技术学院繁昌校区产教融合实训基地建设项目、铜陵学院财经教育产教融合实训基地（A组团）项目等13所省属高校中央预算内投资项目逐项调度，调度形式采取现场调度、召开座谈会、查看文件资料等方式进行。</w:t>
      </w:r>
    </w:p>
    <w:p w14:paraId="77BEE92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调度高校的领导和职能部门的负责同志纷纷表示，学校党委和行政高度重视并大力支持项目建设工作，严格遵守相关规定和程序，认真做好工程建设、经费使用、农民工工资支付、项目纳统等工作。学校将以此次调度为契机，进一步确保高质量完成各项建设任务。一是提高政治站位，深入学习贯彻党的二十届三中全会精神，把思想和行动统一到党中央、国务院和省委、省政府相关工作部署上来，全力推进项目建设。二是抢抓发展机遇，通过中央预算内投资计划项目的实施，推动学校基础能力建设和内涵式发展，提高学校教育教学水平、科研服务能力。三是强化项目管理，倒排工期，加强项目调度，严格按照项目建设的各项管理规定和工作流程，落实各项措施，确保项目建设顺利实施。</w:t>
      </w:r>
    </w:p>
    <w:p w14:paraId="5C7D566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督查组针对项目资料和现场检查中发现的问题进行了反馈并提出整改要求。肯定项目建设的成果，表示省教育工委、教育厅高度关注项目建设，要求学校结合省委教育工委要求，进一步压实责任、形成合力，切实规范使用并提高中央财政专项资金使用效益，使项目建设质量经得起历史的检验的同时确保项目顺利推进。并提出五点要求：一是稳步推进项目建设，项目进度目前总体滞后，需按照建设计划要求稳步推进；二是坚持质量第一的原则，着力打造优质工程、安全工程、民心工程；三是保安全，认真履行安全生产主体责任，落实做好施工现场安全生产和文明施工管理，强化隐患排查整治，确保在建设过程中不发生安全事故；四是守纪律，纪律规则是底线，做到专款、用专、专账，规范使用，中央财政专项资金使用符合财政纪律、中央八项规定，认真做好工程建设、经费使用、农民工工资支付、项目纳统等工作；五是进一步提升中央财政专项资金使用效益，不能违规新建改建楼堂馆所，确保综合楼建设项目产教融合实训楼发挥最大使用效益。</w:t>
      </w:r>
    </w:p>
    <w:p w14:paraId="4F20DE0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6466556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5129B22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635CFC5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7788B66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6E1D739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65EC63E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5FF7120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3FFEF8ED">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b/>
          <w:bCs/>
          <w:color w:val="auto"/>
          <w:sz w:val="36"/>
          <w:szCs w:val="36"/>
          <w:lang w:val="en-US" w:eastAsia="zh-CN"/>
        </w:rPr>
      </w:pPr>
    </w:p>
    <w:p w14:paraId="62722424">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b/>
          <w:bCs/>
          <w:color w:val="auto"/>
          <w:sz w:val="36"/>
          <w:szCs w:val="36"/>
          <w:lang w:val="en-US" w:eastAsia="zh-CN"/>
        </w:rPr>
      </w:pPr>
    </w:p>
    <w:p w14:paraId="45C1F7C9">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b/>
          <w:bCs/>
          <w:color w:val="auto"/>
          <w:sz w:val="36"/>
          <w:szCs w:val="36"/>
          <w:lang w:val="en-US" w:eastAsia="zh-CN"/>
        </w:rPr>
      </w:pPr>
    </w:p>
    <w:p w14:paraId="5A61643B">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b/>
          <w:bCs/>
          <w:color w:val="auto"/>
          <w:sz w:val="36"/>
          <w:szCs w:val="36"/>
          <w:lang w:val="en-US" w:eastAsia="zh-CN"/>
        </w:rPr>
      </w:pPr>
    </w:p>
    <w:p w14:paraId="5304B88D">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b/>
          <w:bCs/>
          <w:color w:val="auto"/>
          <w:sz w:val="36"/>
          <w:szCs w:val="36"/>
          <w:lang w:val="en-US" w:eastAsia="zh-CN"/>
        </w:rPr>
      </w:pPr>
    </w:p>
    <w:p w14:paraId="78576254">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b/>
          <w:bCs/>
          <w:color w:val="auto"/>
          <w:sz w:val="36"/>
          <w:szCs w:val="36"/>
          <w:lang w:val="en-US" w:eastAsia="zh-CN"/>
        </w:rPr>
      </w:pPr>
    </w:p>
    <w:p w14:paraId="5B6352D1">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b/>
          <w:bCs/>
          <w:color w:val="auto"/>
          <w:sz w:val="36"/>
          <w:szCs w:val="36"/>
          <w:lang w:val="en-US" w:eastAsia="zh-CN"/>
        </w:rPr>
      </w:pPr>
    </w:p>
    <w:p w14:paraId="6CC7FC45">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b/>
          <w:bCs/>
          <w:color w:val="auto"/>
          <w:sz w:val="36"/>
          <w:szCs w:val="36"/>
          <w:lang w:val="en-US" w:eastAsia="zh-CN"/>
        </w:rPr>
      </w:pPr>
    </w:p>
    <w:p w14:paraId="5CE51C62">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b/>
          <w:bCs/>
          <w:color w:val="auto"/>
          <w:sz w:val="36"/>
          <w:szCs w:val="36"/>
          <w:lang w:val="en-US" w:eastAsia="zh-CN"/>
        </w:rPr>
      </w:pPr>
    </w:p>
    <w:p w14:paraId="3E04DACA">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b/>
          <w:bCs/>
          <w:color w:val="auto"/>
          <w:sz w:val="36"/>
          <w:szCs w:val="36"/>
          <w:lang w:val="en-US" w:eastAsia="zh-CN"/>
        </w:rPr>
      </w:pPr>
    </w:p>
    <w:p w14:paraId="2A9EC077">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b/>
          <w:bCs/>
          <w:color w:val="auto"/>
          <w:sz w:val="36"/>
          <w:szCs w:val="36"/>
          <w:lang w:val="en-US" w:eastAsia="zh-CN"/>
        </w:rPr>
      </w:pPr>
    </w:p>
    <w:p w14:paraId="06635EE6">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b/>
          <w:bCs/>
          <w:color w:val="auto"/>
          <w:sz w:val="36"/>
          <w:szCs w:val="36"/>
          <w:lang w:val="en-US" w:eastAsia="zh-CN"/>
        </w:rPr>
      </w:pPr>
      <w:r>
        <w:rPr>
          <w:rFonts w:hint="eastAsia"/>
          <w:b/>
          <w:bCs/>
          <w:color w:val="auto"/>
          <w:sz w:val="36"/>
          <w:szCs w:val="36"/>
          <w:lang w:val="en-US" w:eastAsia="zh-CN"/>
        </w:rPr>
        <w:t xml:space="preserve">强化合作 共促发展 </w:t>
      </w:r>
    </w:p>
    <w:p w14:paraId="6C2807A8">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b/>
          <w:bCs/>
          <w:color w:val="auto"/>
          <w:sz w:val="36"/>
          <w:szCs w:val="36"/>
          <w:lang w:val="en-US" w:eastAsia="zh-CN"/>
        </w:rPr>
      </w:pPr>
      <w:r>
        <w:rPr>
          <w:rFonts w:hint="eastAsia"/>
          <w:b/>
          <w:bCs/>
          <w:color w:val="auto"/>
          <w:sz w:val="36"/>
          <w:szCs w:val="36"/>
          <w:lang w:val="en-US" w:eastAsia="zh-CN"/>
        </w:rPr>
        <w:t>社会组织助力教育强省指导小组成立</w:t>
      </w:r>
    </w:p>
    <w:p w14:paraId="2E36A7F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2024年8月30日，安徽省社会组织总会为积极响应国家教育强国战略，推动教育事业全面发展，在合肥市隆重召开了“社会组织助力教育强省工作指导小组”成立大会。此次大会标志着安徽省在社会组织参与服务教育发展方面迈出了坚实的一步。</w:t>
      </w:r>
    </w:p>
    <w:p w14:paraId="1D99C60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大会由总会社会组织助力教育强省指导小组副组长李仁群主持，安徽省教育基本建设学会秘书长李大华教授应邀和来自全省70余家社会组织的代表、教育专家、学者齐聚一堂，共同见证了这一重要时刻。总会社会组织助力教育强省指导小组组长王佩刚在开致辞中表示，工作指导小组的成立为教育领域社会组织聚力发挥“补短板、强弱项”的作用提供了广阔的平台。相信通过广大教育领域社会组织的勠力同心、携手并进，将为教育领域社会组织群体实现科学发展注入强劲动力，为我省教育公益慈善事业健康发展贡献力量。安徽省教育发展基金会将积极促进成员单位资源共享、优势互补、相互促进、共同发展，打造亮点和品牌。</w:t>
      </w:r>
    </w:p>
    <w:p w14:paraId="12D919D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在成立大会上，安徽省社会组织常务副会长张伯根宣读关于设立“安徽省社会组织总会社会组织助力教育强省工作指导小组”的决定;审议通过了安徽省社会组织总会社会组织助力教育强省工作指导小组工作规则，并举行了揭牌仪式。在与会领导、嘉宾的见证下，贾宝明与王佩刚共同为工作指导小组揭牌。</w:t>
      </w:r>
    </w:p>
    <w:p w14:paraId="39564A9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安徽省社会组织总会会长贾宝明在讲话中表示，社会组织助力教育强省工作指导小组的成立，是平台建设的具体工程，利好众多、意义重大：一是搭建了一个相互学习的平台，对推动教育领域社会组织高质量发展具有积极的作用。二是搭建了一个相互合作的平台，对推动教育领域社会组织助力教育强省建设具有积极的作用。三是搭建了一个相互自律的平台，对推动教育领域社会组织健康发展具有积极的作用。四是搭建了一个指导服务的平台，对确保社会组织正确的办会方向和优化社会组织发展环境具有积极的作用。</w:t>
      </w:r>
    </w:p>
    <w:p w14:paraId="67BD82F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成立大会的成功举办，不仅为安徽省社会组织参与教育发展提供了新的平台和机遇，也为全省教育事业的繁荣注入了新的活力。安徽省教育基本建设学会将和社会各界一起共同努力，为安徽省的教育事业发展注入新的活力。（审稿：李大华）</w:t>
      </w:r>
    </w:p>
    <w:p w14:paraId="27BC5057">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b/>
          <w:bCs/>
          <w:color w:val="auto"/>
          <w:sz w:val="36"/>
          <w:szCs w:val="36"/>
          <w:lang w:val="en-US" w:eastAsia="zh-CN"/>
        </w:rPr>
      </w:pPr>
      <w:r>
        <w:rPr>
          <w:rFonts w:hint="eastAsia"/>
          <w:b/>
          <w:bCs/>
          <w:color w:val="auto"/>
          <w:sz w:val="36"/>
          <w:szCs w:val="36"/>
          <w:lang w:val="en-US" w:eastAsia="zh-CN"/>
        </w:rPr>
        <w:t>学会组织在肥会员聆听吴志强院士学术报告</w:t>
      </w:r>
    </w:p>
    <w:p w14:paraId="2434DE6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9月20日下午，吴志强院士应学会理事长单位安徽建筑大学马文革书记的邀请，在安徽建筑大学易海大讲堂发表了以“托举学科崛起的绿色校园”为题的主旨报告，报告会由安徽建筑大学校长、安徽教育基建学会理事长黄显怀教授主持。学会秘书处组织在肥会员单位：中国科学技术大学、合肥工业大学、合肥工业大学设计院集团有限公司、安徽大学、安徽农业大学、安徽医科大学、安徽新华学院、安徽艺术学院、安徽医学高等专科学校、安徽城市管理职业学院、安徽工商职业学院、省设计总院等10余所高校基建负责人和企业会员单位同仁聆听了吴院士报告。</w:t>
      </w:r>
    </w:p>
    <w:p w14:paraId="096C39C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 吴志强院士在报告中提出了八大托举策略，以绿色校园建设为依托，推动建筑类院校的学科崛起。八大托举包括更新教育理念、优化课程设置、强化实践教学、引进培养人才、建设绿色校园、加强科研创新、宣传普及绿色建筑知识、建立国际合作交流机制。吴院士的精彩报告赢得了与会者的热烈掌声。</w:t>
      </w:r>
    </w:p>
    <w:p w14:paraId="12C4F4A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 在报告会结束时，吴院士向学会理事长黄显怀校长赠送了自己主编的绿色校园教材等著作，黄显怀校长对吴院士的精彩报告以及对安徽教育基本建设事业的支持表示了衷心的感谢。（审稿：李大华）</w:t>
      </w:r>
    </w:p>
    <w:p w14:paraId="6A4839D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6D482A5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73E495F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2F1DA2E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76A8AAF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5FF1DF6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055CA80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35B73E3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2002111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2C91004D">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b/>
          <w:bCs/>
          <w:color w:val="auto"/>
          <w:sz w:val="36"/>
          <w:szCs w:val="36"/>
          <w:lang w:val="en-US" w:eastAsia="zh-CN"/>
        </w:rPr>
      </w:pPr>
    </w:p>
    <w:p w14:paraId="2D219600">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b/>
          <w:bCs/>
          <w:color w:val="auto"/>
          <w:sz w:val="36"/>
          <w:szCs w:val="36"/>
          <w:lang w:val="en-US" w:eastAsia="zh-CN"/>
        </w:rPr>
      </w:pPr>
      <w:r>
        <w:rPr>
          <w:rFonts w:hint="eastAsia"/>
          <w:b/>
          <w:bCs/>
          <w:color w:val="auto"/>
          <w:sz w:val="36"/>
          <w:szCs w:val="36"/>
          <w:lang w:val="en-US" w:eastAsia="zh-CN"/>
        </w:rPr>
        <w:t>学会2022-2023年课题结题评审会</w:t>
      </w:r>
    </w:p>
    <w:p w14:paraId="63D3C624">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b/>
          <w:bCs/>
          <w:color w:val="auto"/>
          <w:sz w:val="36"/>
          <w:szCs w:val="36"/>
          <w:lang w:val="en-US" w:eastAsia="zh-CN"/>
        </w:rPr>
      </w:pPr>
      <w:r>
        <w:rPr>
          <w:rFonts w:hint="eastAsia"/>
          <w:b/>
          <w:bCs/>
          <w:color w:val="auto"/>
          <w:sz w:val="36"/>
          <w:szCs w:val="36"/>
          <w:lang w:val="en-US" w:eastAsia="zh-CN"/>
        </w:rPr>
        <w:t>在安徽建筑大学北校区举行</w:t>
      </w:r>
    </w:p>
    <w:p w14:paraId="6995851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华文楷体" w:hAnsi="华文楷体" w:eastAsia="华文楷体" w:cs="华文楷体"/>
          <w:i w:val="0"/>
          <w:iCs w:val="0"/>
          <w:caps w:val="0"/>
          <w:color w:val="auto"/>
          <w:spacing w:val="0"/>
          <w:sz w:val="24"/>
          <w:szCs w:val="24"/>
          <w:shd w:val="clear" w:fill="FFFFFF"/>
        </w:rPr>
        <w:t xml:space="preserve">本网讯 </w:t>
      </w:r>
      <w:r>
        <w:rPr>
          <w:rFonts w:hint="eastAsia" w:ascii="宋体" w:hAnsi="宋体" w:eastAsia="宋体" w:cs="宋体"/>
          <w:i w:val="0"/>
          <w:iCs w:val="0"/>
          <w:caps w:val="0"/>
          <w:color w:val="auto"/>
          <w:spacing w:val="0"/>
          <w:sz w:val="24"/>
          <w:szCs w:val="24"/>
          <w:shd w:val="clear" w:fill="FFFFFF"/>
        </w:rPr>
        <w:t>9月27日，学会聘请专家组对学会2022-2023年科研课题结题进行评审。评审会在安徽建筑大学北校区办公楼第一会议室举行，由学会副理事长、合肥工业大学副校长季益洪副同志主持。</w:t>
      </w:r>
    </w:p>
    <w:p w14:paraId="11C291B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2022-2023年安徽省教育基本建设学会科研立项课题共21项。专家们对每个结题课题项目进行了认真严谨的审查，从立项背景、研究目标、研究意义、研究思路、研究方法、研究内容、主要成果和取得成效等都进行了综合考量。评审专家组在仔细查阅了申报表、项目进度表、结题报告、发表期刊等结题材料后，对课题研究的执行情况、课题结项材料准备、成果完成情况等方面进行了点评。最后一致同意12项课题结题，其中陈东旭、陈前程、徐少坤同志主持的课题被评为优秀。此外同意9项课题延期一年。</w:t>
      </w:r>
    </w:p>
    <w:p w14:paraId="6A384E2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专家组对我会在科研上取得的成绩表示认可，也希望学会要继续发挥好学会学术性作用，要组织会员深入开展研究，形成优秀教育基建科研成果，把优秀的课题成果向各会员单位全面推广，为安徽省教育基本建设添砖加瓦。</w:t>
      </w:r>
    </w:p>
    <w:p w14:paraId="1502398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专家们的意见和建议客观、准确、全面、专业，促进了学会对科研项目的科学管理，开创学会科研事业发展的新局面。（拟稿：徐天娇   审稿：李大华）</w:t>
      </w:r>
    </w:p>
    <w:p w14:paraId="3DF252A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5144428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1C83AC2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07F559B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5A71B1F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0A85136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2816BDF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728506F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3992DC64">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b/>
          <w:bCs/>
          <w:color w:val="auto"/>
          <w:sz w:val="36"/>
          <w:szCs w:val="36"/>
          <w:lang w:val="en-US" w:eastAsia="zh-CN"/>
        </w:rPr>
      </w:pPr>
      <w:r>
        <w:rPr>
          <w:rFonts w:hint="eastAsia"/>
          <w:b/>
          <w:bCs/>
          <w:color w:val="auto"/>
          <w:sz w:val="36"/>
          <w:szCs w:val="36"/>
          <w:lang w:val="en-US" w:eastAsia="zh-CN"/>
        </w:rPr>
        <w:t>浙江省教育后勤基建协会来学会调研</w:t>
      </w:r>
    </w:p>
    <w:p w14:paraId="16229DB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10月18日下午，浙江省教育后勤基建协会校园建设与管理专业委员会处长陈云峰一行来学会调研交流，安徽省教育厅发规处副处长伍德金、中国科学技术大学、合肥工业大学、安徽大学、安徽医科大学基建部门负责人、学会秘书处参加交流活动。</w:t>
      </w:r>
    </w:p>
    <w:p w14:paraId="58325AD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调研会上学会秘书长李大华简单的介绍了学会的基本情况，以及学会现状及近期的工作思路。陈云峰对学校热情接待表示了感谢，并介绍了浙江省教育后勤基建协会校园建设与管理专业委员的基本情况。他表明此次来访主要是交流长三角“三省一市”教育基建交流会筹办经验以及校园修缮管理理念和做法，希望我学会能够答疑解惑、传经送宝，把好的经验和做法带回去。 </w:t>
      </w:r>
    </w:p>
    <w:p w14:paraId="1E40681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交流会上，学会秘书处就长三角教育基建交流研讨会的前期准备工作和会议控场注意事项以及做好会议后勤服务等问题进行了交流。随后与会同志就基建校园修缮管理理念和做法进行了深入的探讨和交流。最后伍德金表示将以此次调研会为契机，建立畅通的沟通平台，深化交流与合作，相互交流与学习，致力于提升长三角一体化发展。（初稿：徐天娇，审稿：李大华）</w:t>
      </w:r>
    </w:p>
    <w:p w14:paraId="7380890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66F6DA7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076E2D4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2A32291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0984520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75AC3E1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228470A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2B612F9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3514498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751E1FC7">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b/>
          <w:bCs/>
          <w:color w:val="auto"/>
          <w:sz w:val="36"/>
          <w:szCs w:val="36"/>
          <w:lang w:val="en-US" w:eastAsia="zh-CN"/>
        </w:rPr>
      </w:pPr>
    </w:p>
    <w:p w14:paraId="29CD53B5">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b/>
          <w:bCs/>
          <w:color w:val="auto"/>
          <w:sz w:val="36"/>
          <w:szCs w:val="36"/>
          <w:lang w:val="en-US" w:eastAsia="zh-CN"/>
        </w:rPr>
      </w:pPr>
      <w:r>
        <w:rPr>
          <w:rFonts w:hint="eastAsia"/>
          <w:b/>
          <w:bCs/>
          <w:color w:val="auto"/>
          <w:sz w:val="36"/>
          <w:szCs w:val="36"/>
          <w:lang w:val="en-US" w:eastAsia="zh-CN"/>
        </w:rPr>
        <w:t>学会2024年</w:t>
      </w:r>
      <w:r>
        <w:rPr>
          <w:rFonts w:hint="eastAsia"/>
          <w:b/>
          <w:bCs/>
          <w:color w:val="auto"/>
          <w:sz w:val="36"/>
          <w:szCs w:val="36"/>
          <w:lang w:val="en-US" w:eastAsia="zh-CN"/>
        </w:rPr>
        <w:t>学术年会暨六届四次理事在巢湖学院召开</w:t>
      </w:r>
    </w:p>
    <w:p w14:paraId="34D730A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12月12日至14日，安徽省教育基本建设学会2024年学术年会暨六届四次理事会在巢湖学院隆重召开。学会理事长、安徽建筑大学党委副书记、校长黄显怀，学会监事长、马鞍山市教育局党委委员副局长金桂兰，副理事长、合肥工业大学党委常委、副校长季益洪，副理事长、安徽新华学院副院长李金星等学会领导，以及来自全省50余所高校、市县教育局的理事、会员共计140余人参加会议。巢湖学院党委副书记、院长张莉及省教育厅发展规划处副处长伍德金等领导同志应邀参加会议。本次会议由学会举办、巢湖学院承办，会议圆满完成各项既定议程。</w:t>
      </w:r>
    </w:p>
    <w:p w14:paraId="486C5E1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12月13日上午召开六届四次理事会，会议共有八项议程，分两个阶段进行：第一阶段的会议由学会副理事长季益洪主持，第二个阶段是现场观摩考察由巢湖学院蒋飞同志主持。</w:t>
      </w:r>
    </w:p>
    <w:p w14:paraId="5CED8B8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首先，巢湖学院党委副书记、院长张莉致欢迎辞。她对莅临大会的各位领导和专家表示热烈欢迎，介绍了学校的基本情况。张莉院长希望学会，为大家提供一个教育基本建设学术研讨交流的平台，推进学会深入开展教育基建理论和实际问题研究，探索新时期校园建设规律，进一步提高教育基建管理水平和投资效益，赋能我省教育事业高质量发展。</w:t>
      </w:r>
    </w:p>
    <w:p w14:paraId="1503098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伍德金处长代表教育厅讲话，他指出，一年来，学会通过学术讲座、专题研讨、现场观摩等多种形式，推广教育基建工作的新理念、新思路、新技术、新材料和新工艺，做了大量卓有成效的工作，不仅成为各会员单位之间的桥梁纽带，也成为省教育厅安排部署工作的一个重要平台，省教育厅对于学会工作充分认可。同时，对学会下一步的工作提出要求：一是要求学会要强化党建引领，把握政治方向，要遵守社会组织政策法规，完善内部管理制度，健全内部治理体制机制，严格按照《章程》开展活动；二是希望学会要紧密结合我省高等教育适龄人口变化趋势，在高等教育分类特色发展的大背景下，尽快组织专家学者研究我省优化高等教育布局最优方案，为省委省政府决策我省高等教育发展与资源配置提供参考依据。</w:t>
      </w:r>
    </w:p>
    <w:p w14:paraId="55B3767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安徽建筑大学党委副书记、校长兼学会理事长黄显怀同志作“学会2024年度理事会工作报告及2024年工作部”署。黄显怀理事长指出，2024年，学会先后与苏州大学、东南大学等联合举办安徽省教育基建管理干部和工程技术人员业务培训班两期，培训180余人次；学会开展以校园规划建设为主题的科研课题研究21项，资助科研经费10余万元等等。学会为推动我省教育基本建设事业高质量发展做出了成绩。2025年学会要精准研判当前形势任务，继续担负好作为社会组织的使命责任，坚持为业务主管部门、为会员、为行业服务的宗旨，进一步更新发展理念，拓宽服务功能，在奋进新征程上展现新担当、迈好新步伐、实现新作为。黄显怀事长的工作报告，经全体理事审议，最后采用举手表决的方式，一致通过了这个报告。</w:t>
      </w:r>
    </w:p>
    <w:p w14:paraId="10A29BF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学会监事长、马鞍山市教育局副局长金桂兰同志作“学会2024年度监事会工作报告”；学会秘书长李大华向大会做“2023年度学会财务工作报告”；学会副理事长、安徽新华学院副校长李金星同志宣读“学会一年来组织机构及会员变动情况”。上述议程经全体到会理事审议，然后举手表决，一致通过了监事会工作报告、财务工作报告和学会组织机构及会员变动报告。</w:t>
      </w:r>
    </w:p>
    <w:p w14:paraId="7B3EE28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会议隆重为2022-2023年度优秀科研成果获奖者，2023-2024年度教育基本建设工作先进集体、先进个人举行了颁奖仪式。</w:t>
      </w:r>
    </w:p>
    <w:p w14:paraId="48EE763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六届四次理事会既定议程完成后，巢湖学院基建办主任、学会常务理事组织参会人员，分两组考察了巢湖学院环巢湖文化展览馆和大学生活动中心，听取了巢湖学院基本建设发展概况的介绍。</w:t>
      </w:r>
    </w:p>
    <w:p w14:paraId="4BA5E80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在2024年度学术年会上，特别邀请了省住房和城乡建设厅原二级巡视员、省建筑工程招标投标协会会长王胜波，省财政厅政府债务管理处二级调研员杜志明，分别作了《基于业主视角下的校园基本建设工程质量监督与管理》、《教育领域专项债券项目谋划》为主题的学术报告。与会人员针对校园基本建设工程质量管控、教育领域专项债券项目申报注意事项等方面工作进行了深入的交流和探讨。</w:t>
      </w:r>
    </w:p>
    <w:p w14:paraId="0F3B6E6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本次学术年会及六届四次理事会的成功举办得到巢湖学院的大力支持，学院党政班子及分管校领导高度重视，学院基建办公室及团委、保卫处、后勤处等职能部门精心筹备、热心服务，会议高效率、高质量、高水平地圆满完成了既定议程，获得了省教育厅、和全体参会代表的高度评价。</w:t>
      </w:r>
    </w:p>
    <w:p w14:paraId="47937490">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b/>
          <w:bCs/>
          <w:color w:val="auto"/>
          <w:sz w:val="36"/>
          <w:szCs w:val="36"/>
          <w:lang w:val="en-US" w:eastAsia="zh-CN"/>
        </w:rPr>
      </w:pPr>
    </w:p>
    <w:p w14:paraId="1D3F2433">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b/>
          <w:bCs/>
          <w:color w:val="auto"/>
          <w:sz w:val="36"/>
          <w:szCs w:val="36"/>
          <w:lang w:val="en-US" w:eastAsia="zh-CN"/>
        </w:rPr>
      </w:pPr>
      <w:r>
        <w:rPr>
          <w:rFonts w:hint="eastAsia"/>
          <w:b/>
          <w:bCs/>
          <w:color w:val="auto"/>
          <w:sz w:val="36"/>
          <w:szCs w:val="36"/>
          <w:lang w:val="en-US" w:eastAsia="zh-CN"/>
        </w:rPr>
        <w:t>合工大设计院：笃行四十五载 匠心筑建未来</w:t>
      </w:r>
    </w:p>
    <w:p w14:paraId="527969D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四十五载砥砺前行，四十五载风雨兼程，自 1979 年成立以来，合肥工业大学设计院（集团）有限公司（以下简称合工大设计院）已走过四十五个春秋。在规划、设计的历史长河中，合工大设计院始终以国家发展大局为重，开拓进取，突出主业主责，聚焦创新发展，推进智慧城市、智能建造，不断标注出设计的新坐标、新起点。</w:t>
      </w:r>
    </w:p>
    <w:p w14:paraId="709D3B6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积蓄动能：为社会提供一流的产品与服务</w:t>
      </w:r>
    </w:p>
    <w:p w14:paraId="3467A9E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翻开合工大设计院厚重的历史册页，可以看到，45 年来，合工大设计院作为教育部直属全国重点大学 ——合肥工业大学的全资企业 ，始终跟随国家前行的步伐 ，积极响应国家战略部署 ，肩负着时代赋予的使命。</w:t>
      </w:r>
    </w:p>
    <w:p w14:paraId="113A3E6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1979 年，合肥工业大学为贯彻“理论联系实际、教学必须与生产实践相结合”的方针，批准建筑工程系成立建筑设计室，组建了十余人的团队，将教学与建筑创作相结合。在之后的岁月里，设计室从研究所、设计研究院逐步成长为如今的集团公司。</w:t>
      </w:r>
    </w:p>
    <w:p w14:paraId="13E17B1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“设计室刚成立时，我们是在学校的一间教室里工作的。后来，又搬过图书馆、地下室……在学校里辗转了很多个地方，直到 2003 年才拥有了独立的办公场所——三立苑。”安徽省工程勘察设计大师张云海从事建筑行业工作已有 40 余年，考入合肥工业大学建筑学专业后，便一直见证着合工大设计院的成长与壮大。在他看来，能吃苦、肯拼搏，是企业最好的座右铭。</w:t>
      </w:r>
    </w:p>
    <w:p w14:paraId="56F4FFC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只要有新员工入职 ，我们都是手把手 、毫无保留地把过去的经验传授给他们。”毕业于合肥工业大学工业与民用建筑专业的安徽省工程勘察设计大师王珺 看来，“传、帮、带”同样是企业逐步发展壮大的关键。</w:t>
      </w:r>
    </w:p>
    <w:p w14:paraId="115F707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“设计院就像是一个孵化器，孕育出了一批优秀的设计大师和作品。”安徽省工程勘察设计大师孙洁自 1988 年起便加入合工大设计院工作，先后负责建筑结构、施工图审查等工作，在人才培育、作品创作上，坚守质量关。</w:t>
      </w:r>
    </w:p>
    <w:p w14:paraId="5BC1FF7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合工大设计院作为依托合肥工业大学深厚广博的学术、科研和教学资源成长起来的学科型企业 ，从成立之初 ，就肩负着“为社会提供一流的产品与服务”的重要使命。在传统的教育、金融、医疗、办公、房地产和商业综合体等民用建筑设计的基础上，合工大设计院还开拓了岩土工程、工程监测、国土空间规划、市政工程、新能源与电力工程、水利工程、智能交通、智慧城市与智能建筑等市场领域，用智慧与汗水绘制出一幅幅城市发展的宏伟蓝图。</w:t>
      </w:r>
    </w:p>
    <w:p w14:paraId="2CAB54C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作为高新技术企业、合肥市创意文化重点产业链企业，合工大设计院建有国家装配式建筑产业基地、安徽省徽派建筑研究院、安徽省城市风貌与空间环境更新技术工程研究中心、安徽省企业技术中心等多个科研平台。依托高校开展产学研创，不断加强技术创新，成果丰硕。</w:t>
      </w:r>
    </w:p>
    <w:p w14:paraId="112958E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同时，合工大设计院坚持质量至上，以高质量发展为首要任务。该院目前已拥有甲级资质11项，乙级资质26项。完成的项目共获国家级奖项 44项 ，教育部奖项85项，省级奖项378项。先后被授予当代中国建筑设计百家名院、科普教育基地、安徽省优秀建筑业企业、安徽省工程勘察设计行业企业文化建设先进单位等称号。</w:t>
      </w:r>
    </w:p>
    <w:p w14:paraId="5F60E2A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守正创新：探索高质量发展新路径</w:t>
      </w:r>
    </w:p>
    <w:p w14:paraId="41F5F60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近年来，合工大设计院紧跟数字化、智能化、绿色建筑及智慧城市等行业热点，融合求变，守正创新。既坚守传统建筑勘察规划之基，又紧抓高质量发展转型先机；既深耕传统专业领域，又拓展新兴赛道；既塑造新动能，又构筑新优势。作为安徽省一流综合勘察设计集团，合工大设计院充分发挥自身优势，以专业品质为美好安徽建言献策。</w:t>
      </w:r>
    </w:p>
    <w:p w14:paraId="41A428A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“为满足人民群众对高品质住宅的需求，加快实现从‘住有所居’向‘住有宜居’迈进 ，我们今年参与主编了《安徽省高品质住宅设计指南（试行）》。”据安徽省工程勘察设计大师张一敢介绍 ，该指南已于2024 年10月正式出台，对于提升住宅建设品质、推动绿色低碳发展、增强安全耐久性 、提升智能化水平等方面具有重要意义。此外 ，合工大设计院还主编了《安徽省保障性住房建设标准》，设计的安徽省首个配售型保障性住房项目也已于今年3月正式开工。</w:t>
      </w:r>
    </w:p>
    <w:p w14:paraId="0C4FA2B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城市更新领域，合工大设计院积极投身于课题研究与实践，参编中国工程建设标准化协会标准《城市更新策划与评估标准》、安徽省地方标准《既有建筑改造设计指南》、行业标准《公共建筑节能改造技术规范》，深度参与了仰光片区城中村改造 、庐阳区四里河左岸城市更新（一期）等合肥市关键项目 ，致力于完善老城区基础设施，为居民营造更优质的生活环境 ，推动合肥向宜居、韧性及智慧城市的目标迈进</w:t>
      </w:r>
    </w:p>
    <w:p w14:paraId="03A60B4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和美乡村建设方面，合工大设计院参编安徽省地方标准《安徽省村庄规划编制技术指南（试行）》《安徽省乡镇国土空间总体规划编制规程（试行）》，设计的六安市独山镇太安村、黄山市休宁县海阳镇瑯斯状元村等多个村落，成功入选和美乡村精品示范村建设名单，展现了其在乡村振兴领域的卓越贡献。</w:t>
      </w:r>
    </w:p>
    <w:p w14:paraId="414882D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历史建筑及文物保护方面，合工大设计院彰显专业实力，对庐江矾矿工业遗址等多个重要建筑进行保护加固与再利用，同时，该院还承担了海军安庆医院同仁医院旧址病房楼、潜山市野寨中学忠烈祠及舒城高峰乡新四军司令部旧址等文物、传统建筑修缮与恢复建设工作，为传承历史文化、保护文化遗产作出了贡献。</w:t>
      </w:r>
    </w:p>
    <w:p w14:paraId="39B27FF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同时，随着国家“ 双碳 ”战略深入实施，合工大设计院作为国内节能绿色与智能设计领域的先行者，高度重视节能工作，奠定双碳与智能化发展坚实基础。主编《公共建筑通信设施技术标准》《公共建筑供暖空调能效提升技术标准》等多部省级地方标准 ，参编安徽省地方标准《智能交通系统工程检验规范》，入选安徽省发展改革委第二批合同能源管理合格供应商。安徽省工程勘察设计大师张勇作为合工大设计院暖通专业的领头人，如今，正引领骆岗公园锦绣湖能源站设计建设 ，该站以地源热泵为核心 ，多元互补 ，高效利用浅层地热资源 ，制冷供暖两相宜，展现先进能源应用典范。</w:t>
      </w:r>
    </w:p>
    <w:p w14:paraId="45460E9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水利工程方面，合工大设计院完成了《安徽省农村供水保障提升实施方案（2023-2025 年）》，天长市白塔河综合整治工程、阜南县城东水厂和城南水厂勘察设计、天长市金牛湖新区水系规划等项目。</w:t>
      </w:r>
    </w:p>
    <w:p w14:paraId="4E0BC4B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在推动建筑业工业化、数字化转型的征途上，合工大设计院积极推行 BIM（建筑信息模型）技术，参编安徽省地方标准《建筑信息模型（BIM）技术指南》，并与国产软件公司紧密合作，共同探索创新应用。同时，全面实施协同设计理念，激发内部团队活力，通过举办协同设计竞赛，促进技术交流与创意碰撞。该院获全国第十三届“创新杯”建筑信息模型应用大赛自主图形平台类 BIM 应用一等奖，2024 年安徽省住房和城乡建设系统建筑信息模型技术员职业技能竞赛团体一等奖。</w:t>
      </w:r>
    </w:p>
    <w:p w14:paraId="42924C2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谋定未来：开启数字化转型</w:t>
      </w:r>
    </w:p>
    <w:p w14:paraId="3D14A0A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“新”征程不忘初心，牢记使命。45 载风雨兼程，合工大设计院始终坚持党的领导，以党建引领企业文化，立足新阶段，贯彻新理念，融入新格局。资质资信全面升级，业务涵盖工程建设全产业链，并逐步扩展至和美乡村、城市更新、水利、消防等民生领域。</w:t>
      </w:r>
    </w:p>
    <w:p w14:paraId="2DA99C5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“我们依托合肥工业大学学科优势，将设计与土木工程、环境、能源等专业紧密契合 ，在产教研学方面做出了许多成果 。”安徽省工程勘察设计大师万力表示，该院提供的服务已经从单一的设计，转型为标准制定、课题研究等综合服务。</w:t>
      </w:r>
    </w:p>
    <w:p w14:paraId="5B0C755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工大设计院通过服务学科建设，强化产业链的连接、补充和延伸，实现建设工程全产业链的转型升级，让企业在激烈的市场竞争中保持领先地位。同时，立足知识密集型行业本质，合工大设计院大力开展技术创新和管理创新，进一步提升市场敏感度，不断升级业务能力和模式，提高组织效率和人员效率。坚持学科赋能，不断提升策划咨询能力、科技创新能力、全过程服务能力和资源整合能力，推动创新链产业链资金链人才链深度融合。</w:t>
      </w:r>
    </w:p>
    <w:p w14:paraId="6C47B15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作为高校设计院，未来，我们的目标是成为产学研创融合、专精特新显著的百年高校企业。”安徽省工程勘察设计大师张彤阳表示，站在新的历史起点上，该院将以满足人民日益增长的美好生活需要为根本目的，以深化体制机制改革为动力，以科技创新、管理创新为引擎 ，立足安徽，跨区域多领域为社会提供一流的设计产品和服务。坚持聚焦主责主业，深耕核心优势业务，赋能新兴热点领域；进一步深化改革，不断提升现代企业治理能力和核心竞争力，强化创新策源，推动科技创新，布局建设未来产业，服务国家战略，助力区域发展</w:t>
      </w:r>
      <w:bookmarkStart w:id="0" w:name="_GoBack"/>
      <w:bookmarkEnd w:id="0"/>
      <w:r>
        <w:rPr>
          <w:rFonts w:hint="eastAsia" w:ascii="宋体" w:hAnsi="宋体" w:eastAsia="宋体" w:cs="宋体"/>
          <w:i w:val="0"/>
          <w:iCs w:val="0"/>
          <w:caps w:val="0"/>
          <w:color w:val="auto"/>
          <w:spacing w:val="0"/>
          <w:sz w:val="24"/>
          <w:szCs w:val="24"/>
          <w:shd w:val="clear" w:fill="FFFFFF"/>
        </w:rPr>
        <w:t>。同时，进一步加强产学研创，协同培养人才，服务科技成果转化，为建设国际知名的研究型高水平大学和一批世界一流学科作出应有贡献。</w:t>
      </w:r>
    </w:p>
    <w:p w14:paraId="31AB988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768ABBB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p>
    <w:p w14:paraId="26A3490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lang w:eastAsia="zh-CN"/>
        </w:rPr>
      </w:pPr>
    </w:p>
    <w:sectPr>
      <w:footerReference r:id="rId3" w:type="default"/>
      <w:pgSz w:w="11906" w:h="16838"/>
      <w:pgMar w:top="1440" w:right="1417" w:bottom="1440"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49C6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0CEC3B">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10CEC3B">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lNmZiYTMyOWUxNmI2MTUwZjQzYWYyMDI1MWNjMGEifQ=="/>
  </w:docVars>
  <w:rsids>
    <w:rsidRoot w:val="7BE024F7"/>
    <w:rsid w:val="06532776"/>
    <w:rsid w:val="138E4DA7"/>
    <w:rsid w:val="1CCA0922"/>
    <w:rsid w:val="1F2B4FAB"/>
    <w:rsid w:val="248A2317"/>
    <w:rsid w:val="24D1137D"/>
    <w:rsid w:val="267D4339"/>
    <w:rsid w:val="280367EF"/>
    <w:rsid w:val="29323FCF"/>
    <w:rsid w:val="298235B1"/>
    <w:rsid w:val="29E3710E"/>
    <w:rsid w:val="2A423FF9"/>
    <w:rsid w:val="2B411285"/>
    <w:rsid w:val="32E20814"/>
    <w:rsid w:val="35AD335B"/>
    <w:rsid w:val="3745238C"/>
    <w:rsid w:val="3AB4098F"/>
    <w:rsid w:val="3F4B1EE8"/>
    <w:rsid w:val="40447FB2"/>
    <w:rsid w:val="42B04A1B"/>
    <w:rsid w:val="47D34827"/>
    <w:rsid w:val="4C561BFF"/>
    <w:rsid w:val="53AA2830"/>
    <w:rsid w:val="56D66091"/>
    <w:rsid w:val="59623823"/>
    <w:rsid w:val="5A0E2928"/>
    <w:rsid w:val="5B451E39"/>
    <w:rsid w:val="629E6A4E"/>
    <w:rsid w:val="632B573B"/>
    <w:rsid w:val="63F35B2D"/>
    <w:rsid w:val="68882CE8"/>
    <w:rsid w:val="6C5E0B34"/>
    <w:rsid w:val="6D0417E8"/>
    <w:rsid w:val="7223194D"/>
    <w:rsid w:val="72777AFB"/>
    <w:rsid w:val="78DC6C04"/>
    <w:rsid w:val="7ACF0C4A"/>
    <w:rsid w:val="7BE024F7"/>
    <w:rsid w:val="7DD24DC2"/>
    <w:rsid w:val="7E051B52"/>
    <w:rsid w:val="7EAB5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pPr>
      <w:tabs>
        <w:tab w:val="right" w:leader="dot" w:pos="8306"/>
      </w:tabs>
      <w:ind w:firstLine="50" w:firstLineChars="50"/>
      <w:jc w:val="center"/>
    </w:pPr>
    <w:rPr>
      <w:rFonts w:ascii="黑体" w:eastAsia="黑体"/>
      <w:sz w:val="44"/>
      <w:szCs w:val="44"/>
      <w:lang w:val="zh-CN"/>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9660</Words>
  <Characters>9817</Characters>
  <Lines>0</Lines>
  <Paragraphs>0</Paragraphs>
  <TotalTime>6</TotalTime>
  <ScaleCrop>false</ScaleCrop>
  <LinksUpToDate>false</LinksUpToDate>
  <CharactersWithSpaces>9914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2023-12-19T01:47:00Z</dcterms:created>
  <dc:creator>人间失格</dc:creator>
  <cp:lastModifiedBy>admin</cp:lastModifiedBy>
  <dcterms:modified xsi:type="dcterms:W3CDTF">2025-02-21T03:27:54Z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CE1572D684F0443AA22F8910F29AD62F_11</vt:lpwstr>
  </property>
  <property fmtid="{D5CDD505-2E9C-101B-9397-08002B2CF9AE}" pid="4" name="KSOTemplateDocerSaveRecord">
    <vt:lpwstr>eyJoZGlkIjoiMTNlNmZiYTMyOWUxNmI2MTUwZjQzYWYyMDI1MWNjMGEifQ==</vt:lpwstr>
  </property>
</Properties>
</file>