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Spec="center" w:tblpY="1108"/>
        <w:tblOverlap w:val="never"/>
        <w:tblW w:w="8941" w:type="dxa"/>
        <w:jc w:val="center"/>
        <w:tblCellSpacing w:w="0" w:type="dxa"/>
        <w:tblInd w:w="0" w:type="dxa"/>
        <w:tblLayout w:type="fixed"/>
        <w:tblCellMar>
          <w:top w:w="0" w:type="dxa"/>
          <w:left w:w="0" w:type="dxa"/>
          <w:bottom w:w="0" w:type="dxa"/>
          <w:right w:w="0" w:type="dxa"/>
        </w:tblCellMar>
      </w:tblPr>
      <w:tblGrid>
        <w:gridCol w:w="8941"/>
      </w:tblGrid>
      <w:tr>
        <w:tblPrEx>
          <w:tblLayout w:type="fixed"/>
          <w:tblCellMar>
            <w:top w:w="0" w:type="dxa"/>
            <w:left w:w="0" w:type="dxa"/>
            <w:bottom w:w="0" w:type="dxa"/>
            <w:right w:w="0" w:type="dxa"/>
          </w:tblCellMar>
        </w:tblPrEx>
        <w:trPr>
          <w:trHeight w:val="316" w:hRule="atLeast"/>
          <w:tblCellSpacing w:w="0" w:type="dxa"/>
          <w:jc w:val="center"/>
        </w:trPr>
        <w:tc>
          <w:tcPr>
            <w:tcW w:w="8941" w:type="dxa"/>
            <w:vAlign w:val="center"/>
          </w:tcPr>
          <w:p>
            <w:pPr>
              <w:widowControl/>
              <w:ind w:left="-19" w:leftChars="-9" w:right="63" w:rightChars="30" w:firstLine="12" w:firstLineChars="7"/>
              <w:jc w:val="left"/>
              <w:rPr>
                <w:rFonts w:hint="eastAsia"/>
                <w:color w:val="000000"/>
                <w:sz w:val="18"/>
                <w:szCs w:val="18"/>
              </w:rPr>
            </w:pPr>
          </w:p>
          <w:p>
            <w:pPr>
              <w:pStyle w:val="2"/>
              <w:jc w:val="center"/>
              <w:rPr>
                <w:kern w:val="0"/>
                <w:szCs w:val="28"/>
              </w:rPr>
            </w:pPr>
            <w:bookmarkStart w:id="0" w:name="_Toc17105"/>
            <w:bookmarkStart w:id="1" w:name="_Toc471387523"/>
            <w:r>
              <w:rPr>
                <w:kern w:val="0"/>
                <w:szCs w:val="28"/>
              </w:rPr>
              <w:t>关于爆破作业单位民用爆炸物品储存库安全评价机构有关情况的通报</w:t>
            </w:r>
            <w:bookmarkEnd w:id="0"/>
            <w:bookmarkEnd w:id="1"/>
          </w:p>
          <w:p>
            <w:pPr>
              <w:widowControl/>
              <w:spacing w:line="400" w:lineRule="exact"/>
              <w:ind w:left="-19" w:leftChars="-9" w:right="63" w:rightChars="30" w:firstLine="12" w:firstLineChars="7"/>
              <w:jc w:val="center"/>
              <w:rPr>
                <w:rFonts w:ascii="宋体" w:hAnsi="宋体" w:cs="宋体"/>
                <w:b/>
                <w:bCs/>
                <w:color w:val="000000"/>
                <w:kern w:val="0"/>
                <w:sz w:val="18"/>
                <w:szCs w:val="18"/>
              </w:rPr>
            </w:pPr>
            <w:r>
              <w:rPr>
                <w:rFonts w:hint="eastAsia" w:ascii="宋体" w:hAnsi="宋体" w:cs="宋体"/>
                <w:bCs/>
                <w:color w:val="000000"/>
                <w:kern w:val="0"/>
                <w:sz w:val="18"/>
                <w:szCs w:val="18"/>
              </w:rPr>
              <w:t>公治明发[2011]183号</w:t>
            </w:r>
            <w:r>
              <w:rPr>
                <w:rFonts w:hint="eastAsia" w:ascii="宋体" w:hAnsi="宋体" w:cs="宋体"/>
                <w:b/>
                <w:bCs/>
                <w:color w:val="000000"/>
                <w:kern w:val="0"/>
                <w:sz w:val="18"/>
                <w:szCs w:val="18"/>
              </w:rPr>
              <w:tab/>
            </w:r>
          </w:p>
          <w:p>
            <w:pPr>
              <w:widowControl/>
              <w:spacing w:line="400" w:lineRule="exact"/>
              <w:ind w:left="-19" w:leftChars="-9" w:right="63" w:rightChars="30" w:firstLine="13" w:firstLineChars="7"/>
              <w:jc w:val="center"/>
              <w:rPr>
                <w:rFonts w:ascii="宋体" w:hAnsi="宋体" w:cs="宋体"/>
                <w:color w:val="000000"/>
                <w:sz w:val="18"/>
                <w:szCs w:val="18"/>
              </w:rPr>
            </w:pPr>
            <w:r>
              <w:rPr>
                <w:rFonts w:hint="eastAsia" w:ascii="宋体" w:hAnsi="宋体" w:cs="宋体"/>
                <w:b/>
                <w:bCs/>
                <w:color w:val="000000"/>
                <w:kern w:val="0"/>
                <w:sz w:val="18"/>
                <w:szCs w:val="18"/>
              </w:rPr>
              <w:tab/>
            </w:r>
            <w:r>
              <w:rPr>
                <w:rFonts w:ascii="宋体" w:hAnsi="宋体" w:cs="宋体"/>
                <w:color w:val="000000"/>
                <w:kern w:val="0"/>
                <w:sz w:val="24"/>
                <w:szCs w:val="24"/>
              </w:rPr>
              <w:t> </w:t>
            </w:r>
          </w:p>
          <w:p>
            <w:pPr>
              <w:widowControl/>
              <w:spacing w:line="400" w:lineRule="exact"/>
              <w:ind w:right="63" w:rightChars="30"/>
              <w:jc w:val="left"/>
              <w:rPr>
                <w:rFonts w:ascii="宋体" w:hAnsi="宋体" w:cs="宋体"/>
                <w:color w:val="000000"/>
                <w:sz w:val="18"/>
                <w:szCs w:val="18"/>
              </w:rPr>
            </w:pPr>
            <w:r>
              <w:rPr>
                <w:rFonts w:hint="eastAsia" w:ascii="宋体" w:hAnsi="宋体" w:cs="宋体"/>
                <w:color w:val="000000"/>
                <w:kern w:val="0"/>
                <w:sz w:val="18"/>
                <w:szCs w:val="18"/>
              </w:rPr>
              <w:t xml:space="preserve">   各省、自治区、直辖市公安厅、局治安总队（局），上海市公安局消防局，新疆生产建设兵团公安局治安总队：</w:t>
            </w:r>
          </w:p>
          <w:p>
            <w:pPr>
              <w:pStyle w:val="6"/>
              <w:widowControl/>
              <w:spacing w:line="400" w:lineRule="exact"/>
              <w:ind w:right="63" w:rightChars="30" w:firstLine="360" w:firstLineChars="200"/>
              <w:rPr>
                <w:rFonts w:ascii="宋体" w:hAnsi="宋体" w:cs="宋体"/>
                <w:color w:val="000000"/>
                <w:sz w:val="18"/>
                <w:szCs w:val="18"/>
              </w:rPr>
            </w:pPr>
            <w:r>
              <w:rPr>
                <w:rFonts w:hint="eastAsia" w:ascii="宋体" w:hAnsi="宋体" w:cs="宋体"/>
                <w:color w:val="000000"/>
                <w:sz w:val="18"/>
                <w:szCs w:val="18"/>
              </w:rPr>
              <w:t>现将通过国家安全生产监督管理总局审查，取得业务范围为“烟花爆竹、民用爆破器材制造业”的甲级资质，根据《爆破作业单位民用爆炸物品储存库安全评价导则》（GA/T848—2009）规定，可以从事爆破作业单位民用爆炸物品储存库安全评价的机构名单通报如下（按国家安全生产监督管理总局公布时间排序）：</w:t>
            </w:r>
          </w:p>
          <w:p>
            <w:pPr>
              <w:widowControl/>
              <w:spacing w:line="400" w:lineRule="exact"/>
              <w:ind w:left="232" w:leftChars="104" w:right="63" w:rightChars="30" w:hanging="14" w:hangingChars="8"/>
              <w:jc w:val="left"/>
              <w:rPr>
                <w:rFonts w:ascii="宋体" w:hAnsi="宋体" w:cs="宋体"/>
                <w:color w:val="000000"/>
                <w:sz w:val="18"/>
                <w:szCs w:val="18"/>
              </w:rPr>
            </w:pPr>
            <w:r>
              <w:rPr>
                <w:rFonts w:hint="eastAsia" w:ascii="宋体" w:hAnsi="宋体" w:cs="宋体"/>
                <w:color w:val="000000"/>
                <w:kern w:val="0"/>
                <w:sz w:val="18"/>
                <w:szCs w:val="18"/>
              </w:rPr>
              <w:t>1、浙江省安全生产科学研究所，资质有效期至2013年5月31日；</w:t>
            </w:r>
          </w:p>
          <w:p>
            <w:pPr>
              <w:widowControl/>
              <w:spacing w:line="400" w:lineRule="exact"/>
              <w:ind w:left="232" w:leftChars="104" w:right="63" w:rightChars="30" w:hanging="14" w:hangingChars="8"/>
              <w:jc w:val="left"/>
              <w:rPr>
                <w:rFonts w:ascii="宋体" w:hAnsi="宋体" w:cs="宋体"/>
                <w:color w:val="000000"/>
                <w:sz w:val="18"/>
                <w:szCs w:val="18"/>
              </w:rPr>
            </w:pPr>
            <w:r>
              <w:rPr>
                <w:rFonts w:hint="eastAsia" w:ascii="宋体" w:hAnsi="宋体" w:cs="宋体"/>
                <w:color w:val="000000"/>
                <w:kern w:val="0"/>
                <w:sz w:val="18"/>
                <w:szCs w:val="18"/>
              </w:rPr>
              <w:t>2、重庆渝油科技开发有限公司，资质有效期至2013年5月31日；</w:t>
            </w:r>
          </w:p>
          <w:p>
            <w:pPr>
              <w:widowControl/>
              <w:spacing w:line="400" w:lineRule="exact"/>
              <w:ind w:left="232" w:leftChars="104" w:right="63" w:rightChars="30" w:hanging="14" w:hangingChars="8"/>
              <w:jc w:val="left"/>
              <w:rPr>
                <w:rFonts w:ascii="宋体" w:hAnsi="宋体" w:cs="宋体"/>
                <w:color w:val="000000"/>
                <w:sz w:val="18"/>
                <w:szCs w:val="18"/>
              </w:rPr>
            </w:pPr>
            <w:r>
              <w:rPr>
                <w:rFonts w:hint="eastAsia" w:ascii="宋体" w:hAnsi="宋体" w:cs="宋体"/>
                <w:color w:val="000000"/>
                <w:kern w:val="0"/>
                <w:sz w:val="18"/>
                <w:szCs w:val="18"/>
              </w:rPr>
              <w:t>3、湖北寰安安全咨询有限责任公司，资质有效期至2013年5月31日；</w:t>
            </w:r>
          </w:p>
          <w:p>
            <w:pPr>
              <w:widowControl/>
              <w:spacing w:line="400" w:lineRule="exact"/>
              <w:ind w:left="232" w:leftChars="104" w:right="63" w:rightChars="30" w:hanging="14" w:hangingChars="8"/>
              <w:jc w:val="left"/>
              <w:rPr>
                <w:rFonts w:ascii="宋体" w:hAnsi="宋体" w:cs="宋体"/>
                <w:color w:val="000000"/>
                <w:sz w:val="18"/>
                <w:szCs w:val="18"/>
              </w:rPr>
            </w:pPr>
            <w:r>
              <w:rPr>
                <w:rFonts w:hint="eastAsia" w:ascii="宋体" w:hAnsi="宋体" w:cs="宋体"/>
                <w:color w:val="000000"/>
                <w:kern w:val="0"/>
                <w:sz w:val="18"/>
                <w:szCs w:val="18"/>
              </w:rPr>
              <w:t>4、北京国科安联科技咨询有限公司，资质有效期至2013年5月31日；</w:t>
            </w:r>
          </w:p>
          <w:p>
            <w:pPr>
              <w:widowControl/>
              <w:spacing w:line="400" w:lineRule="exact"/>
              <w:ind w:left="232" w:leftChars="104" w:right="63" w:rightChars="30" w:hanging="14" w:hangingChars="8"/>
              <w:jc w:val="left"/>
              <w:rPr>
                <w:rFonts w:ascii="宋体" w:hAnsi="宋体" w:cs="宋体"/>
                <w:color w:val="000000"/>
                <w:sz w:val="18"/>
                <w:szCs w:val="18"/>
              </w:rPr>
            </w:pPr>
            <w:r>
              <w:rPr>
                <w:rFonts w:hint="eastAsia" w:ascii="宋体" w:hAnsi="宋体" w:cs="宋体"/>
                <w:color w:val="000000"/>
                <w:kern w:val="0"/>
                <w:sz w:val="18"/>
                <w:szCs w:val="18"/>
              </w:rPr>
              <w:t>5、乌鲁木齐泰迪安全技术有限公司，资质有效期至2013年7月31日；</w:t>
            </w:r>
          </w:p>
          <w:p>
            <w:pPr>
              <w:widowControl/>
              <w:spacing w:line="400" w:lineRule="exact"/>
              <w:ind w:left="232" w:leftChars="104" w:right="63" w:rightChars="30" w:hanging="14" w:hangingChars="8"/>
              <w:jc w:val="left"/>
              <w:rPr>
                <w:rFonts w:ascii="宋体" w:hAnsi="宋体" w:cs="宋体"/>
                <w:color w:val="000000"/>
                <w:sz w:val="18"/>
                <w:szCs w:val="18"/>
              </w:rPr>
            </w:pPr>
            <w:r>
              <w:rPr>
                <w:rFonts w:hint="eastAsia" w:ascii="宋体" w:hAnsi="宋体" w:cs="宋体"/>
                <w:color w:val="000000"/>
                <w:kern w:val="0"/>
                <w:sz w:val="18"/>
                <w:szCs w:val="18"/>
              </w:rPr>
              <w:t>6、保定平安安全评价有限公司，资质有效期至2013年7月31日；</w:t>
            </w:r>
          </w:p>
          <w:p>
            <w:pPr>
              <w:widowControl/>
              <w:spacing w:line="400" w:lineRule="exact"/>
              <w:ind w:left="232" w:leftChars="104" w:right="63" w:rightChars="30" w:hanging="14" w:hangingChars="8"/>
              <w:jc w:val="left"/>
              <w:rPr>
                <w:rFonts w:ascii="宋体" w:hAnsi="宋体" w:cs="宋体"/>
                <w:color w:val="000000"/>
                <w:sz w:val="18"/>
                <w:szCs w:val="18"/>
              </w:rPr>
            </w:pPr>
            <w:r>
              <w:rPr>
                <w:rFonts w:hint="eastAsia" w:ascii="宋体" w:hAnsi="宋体" w:cs="宋体"/>
                <w:color w:val="000000"/>
                <w:kern w:val="0"/>
                <w:sz w:val="18"/>
                <w:szCs w:val="18"/>
              </w:rPr>
              <w:t>7、北京国泰民康安全技术中心，资质有效期至2013年7月31日；</w:t>
            </w:r>
          </w:p>
          <w:p>
            <w:pPr>
              <w:widowControl/>
              <w:spacing w:line="400" w:lineRule="exact"/>
              <w:ind w:left="232" w:leftChars="104" w:right="63" w:rightChars="30" w:hanging="14" w:hangingChars="8"/>
              <w:jc w:val="left"/>
              <w:rPr>
                <w:rFonts w:ascii="宋体" w:hAnsi="宋体" w:cs="宋体"/>
                <w:color w:val="000000"/>
                <w:sz w:val="18"/>
                <w:szCs w:val="18"/>
              </w:rPr>
            </w:pPr>
            <w:r>
              <w:rPr>
                <w:rFonts w:hint="eastAsia" w:ascii="宋体" w:hAnsi="宋体" w:cs="宋体"/>
                <w:color w:val="000000"/>
                <w:kern w:val="0"/>
                <w:sz w:val="18"/>
                <w:szCs w:val="18"/>
              </w:rPr>
              <w:t>8、煤炭科学研究总院重庆研究院，资质有效期至2013年7月31日；</w:t>
            </w:r>
          </w:p>
          <w:p>
            <w:pPr>
              <w:widowControl/>
              <w:spacing w:line="400" w:lineRule="exact"/>
              <w:ind w:left="232" w:leftChars="104" w:right="63" w:rightChars="30" w:hanging="14" w:hangingChars="8"/>
              <w:jc w:val="left"/>
              <w:rPr>
                <w:rFonts w:ascii="宋体" w:hAnsi="宋体" w:cs="宋体"/>
                <w:color w:val="000000"/>
                <w:sz w:val="18"/>
                <w:szCs w:val="18"/>
              </w:rPr>
            </w:pPr>
            <w:r>
              <w:rPr>
                <w:rFonts w:hint="eastAsia" w:ascii="宋体" w:hAnsi="宋体" w:cs="宋体"/>
                <w:color w:val="000000"/>
                <w:kern w:val="0"/>
                <w:sz w:val="18"/>
                <w:szCs w:val="18"/>
              </w:rPr>
              <w:t>9、江西省赣华安全科技有限公司，资质有效期至2013年7月31日；</w:t>
            </w:r>
          </w:p>
          <w:p>
            <w:pPr>
              <w:widowControl/>
              <w:spacing w:line="400" w:lineRule="exact"/>
              <w:ind w:left="232" w:leftChars="104" w:right="63" w:rightChars="30" w:hanging="14" w:hangingChars="8"/>
              <w:jc w:val="left"/>
              <w:rPr>
                <w:rFonts w:ascii="宋体" w:hAnsi="宋体" w:cs="宋体"/>
                <w:color w:val="000000"/>
                <w:sz w:val="18"/>
                <w:szCs w:val="18"/>
              </w:rPr>
            </w:pPr>
            <w:r>
              <w:rPr>
                <w:rFonts w:hint="eastAsia" w:ascii="宋体" w:hAnsi="宋体" w:cs="宋体"/>
                <w:color w:val="000000"/>
                <w:kern w:val="0"/>
                <w:sz w:val="18"/>
                <w:szCs w:val="18"/>
              </w:rPr>
              <w:t>10、南昌安达安全技术咨询有限公司，资质有效期至2013年7月31日；</w:t>
            </w:r>
          </w:p>
          <w:p>
            <w:pPr>
              <w:widowControl/>
              <w:spacing w:line="400" w:lineRule="exact"/>
              <w:ind w:left="232" w:leftChars="104" w:right="63" w:rightChars="30" w:hanging="14" w:hangingChars="8"/>
              <w:jc w:val="left"/>
              <w:rPr>
                <w:rFonts w:ascii="宋体" w:hAnsi="宋体" w:cs="宋体"/>
                <w:color w:val="000000"/>
                <w:sz w:val="18"/>
                <w:szCs w:val="18"/>
              </w:rPr>
            </w:pPr>
            <w:r>
              <w:rPr>
                <w:rFonts w:hint="eastAsia" w:ascii="宋体" w:hAnsi="宋体" w:cs="宋体"/>
                <w:color w:val="000000"/>
                <w:kern w:val="0"/>
                <w:sz w:val="18"/>
                <w:szCs w:val="18"/>
              </w:rPr>
              <w:t>11、广东靖安安全评估咨询有限公司，资质有效期至2013年7月31日；</w:t>
            </w:r>
          </w:p>
          <w:p>
            <w:pPr>
              <w:widowControl/>
              <w:spacing w:line="400" w:lineRule="exact"/>
              <w:ind w:left="232" w:leftChars="104" w:right="63" w:rightChars="30" w:hanging="14" w:hangingChars="8"/>
              <w:jc w:val="left"/>
              <w:rPr>
                <w:rFonts w:ascii="宋体" w:hAnsi="宋体" w:cs="宋体"/>
                <w:color w:val="000000"/>
                <w:sz w:val="18"/>
                <w:szCs w:val="18"/>
              </w:rPr>
            </w:pPr>
            <w:r>
              <w:rPr>
                <w:rFonts w:hint="eastAsia" w:ascii="宋体" w:hAnsi="宋体" w:cs="宋体"/>
                <w:color w:val="000000"/>
                <w:kern w:val="0"/>
                <w:sz w:val="18"/>
                <w:szCs w:val="18"/>
              </w:rPr>
              <w:t>12、煤炭科学研究总院沈阳研究院，资质有效期至2013年7月31日；</w:t>
            </w:r>
          </w:p>
          <w:p>
            <w:pPr>
              <w:widowControl/>
              <w:spacing w:line="400" w:lineRule="exact"/>
              <w:ind w:left="232" w:leftChars="104" w:right="63" w:rightChars="30" w:hanging="14" w:hangingChars="8"/>
              <w:jc w:val="left"/>
              <w:rPr>
                <w:rFonts w:ascii="宋体" w:hAnsi="宋体" w:cs="宋体"/>
                <w:color w:val="000000"/>
                <w:sz w:val="18"/>
                <w:szCs w:val="18"/>
              </w:rPr>
            </w:pPr>
            <w:r>
              <w:rPr>
                <w:rFonts w:hint="eastAsia" w:ascii="宋体" w:hAnsi="宋体" w:cs="宋体"/>
                <w:color w:val="000000"/>
                <w:kern w:val="0"/>
                <w:sz w:val="18"/>
                <w:szCs w:val="18"/>
              </w:rPr>
              <w:t>13、兵器工业安全技术研究所，资质有效期至2013年7月31日；</w:t>
            </w:r>
          </w:p>
          <w:p>
            <w:pPr>
              <w:widowControl/>
              <w:spacing w:line="400" w:lineRule="exact"/>
              <w:ind w:left="232" w:leftChars="104" w:right="63" w:rightChars="30" w:hanging="14" w:hangingChars="8"/>
              <w:jc w:val="left"/>
              <w:rPr>
                <w:rFonts w:ascii="宋体" w:hAnsi="宋体" w:cs="宋体"/>
                <w:color w:val="000000"/>
                <w:sz w:val="18"/>
                <w:szCs w:val="18"/>
              </w:rPr>
            </w:pPr>
            <w:r>
              <w:rPr>
                <w:rFonts w:hint="eastAsia" w:ascii="宋体" w:hAnsi="宋体" w:cs="宋体"/>
                <w:color w:val="000000"/>
                <w:kern w:val="0"/>
                <w:sz w:val="18"/>
                <w:szCs w:val="18"/>
              </w:rPr>
              <w:t>14、南京理工科技化工有限责任公司，资质有效期至2013年8月31日；</w:t>
            </w:r>
          </w:p>
          <w:p>
            <w:pPr>
              <w:widowControl/>
              <w:spacing w:line="400" w:lineRule="exact"/>
              <w:ind w:left="232" w:leftChars="104" w:right="63" w:rightChars="30" w:hanging="14" w:hangingChars="8"/>
              <w:jc w:val="left"/>
              <w:rPr>
                <w:rFonts w:ascii="宋体" w:hAnsi="宋体" w:cs="宋体"/>
                <w:color w:val="000000"/>
                <w:sz w:val="18"/>
                <w:szCs w:val="18"/>
              </w:rPr>
            </w:pPr>
            <w:r>
              <w:rPr>
                <w:rFonts w:hint="eastAsia" w:ascii="宋体" w:hAnsi="宋体" w:cs="宋体"/>
                <w:color w:val="000000"/>
                <w:kern w:val="0"/>
                <w:sz w:val="18"/>
                <w:szCs w:val="18"/>
              </w:rPr>
              <w:t>15、湖南金能安全科技有限责任公司，资质有效期至2014年1月31日；</w:t>
            </w:r>
          </w:p>
          <w:p>
            <w:pPr>
              <w:widowControl/>
              <w:spacing w:line="400" w:lineRule="exact"/>
              <w:ind w:left="232" w:leftChars="104" w:right="63" w:rightChars="30" w:hanging="14" w:hangingChars="8"/>
              <w:jc w:val="left"/>
              <w:rPr>
                <w:rFonts w:ascii="宋体" w:hAnsi="宋体" w:cs="宋体"/>
                <w:color w:val="000000"/>
                <w:sz w:val="18"/>
                <w:szCs w:val="18"/>
              </w:rPr>
            </w:pPr>
            <w:r>
              <w:rPr>
                <w:rFonts w:hint="eastAsia" w:ascii="宋体" w:hAnsi="宋体" w:cs="宋体"/>
                <w:color w:val="000000"/>
                <w:kern w:val="0"/>
                <w:sz w:val="18"/>
                <w:szCs w:val="18"/>
              </w:rPr>
              <w:t>16、广东正维咨询服务有限公司，资质有效期至2014年1月31日；</w:t>
            </w:r>
          </w:p>
          <w:p>
            <w:pPr>
              <w:widowControl/>
              <w:spacing w:line="400" w:lineRule="exact"/>
              <w:ind w:left="232" w:leftChars="104" w:right="63" w:rightChars="30" w:hanging="14" w:hangingChars="8"/>
              <w:jc w:val="left"/>
              <w:rPr>
                <w:rFonts w:ascii="宋体" w:hAnsi="宋体" w:cs="宋体"/>
                <w:b/>
                <w:color w:val="000000"/>
                <w:sz w:val="18"/>
                <w:szCs w:val="18"/>
              </w:rPr>
            </w:pPr>
            <w:r>
              <w:rPr>
                <w:rFonts w:hint="eastAsia" w:ascii="宋体" w:hAnsi="宋体" w:cs="宋体"/>
                <w:b/>
                <w:color w:val="000000"/>
                <w:kern w:val="0"/>
                <w:sz w:val="18"/>
                <w:szCs w:val="18"/>
              </w:rPr>
              <w:t>17、广州元景安全评价检测有限公司，资质有效期至2014年1月31日；</w:t>
            </w:r>
          </w:p>
          <w:p>
            <w:pPr>
              <w:widowControl/>
              <w:spacing w:line="400" w:lineRule="exact"/>
              <w:ind w:left="232" w:leftChars="104" w:right="63" w:rightChars="30" w:hanging="14" w:hangingChars="8"/>
              <w:jc w:val="left"/>
              <w:rPr>
                <w:rFonts w:ascii="宋体" w:hAnsi="宋体" w:cs="宋体"/>
                <w:color w:val="000000"/>
                <w:sz w:val="18"/>
                <w:szCs w:val="18"/>
              </w:rPr>
            </w:pPr>
            <w:r>
              <w:rPr>
                <w:rFonts w:hint="eastAsia" w:ascii="宋体" w:hAnsi="宋体" w:cs="宋体"/>
                <w:color w:val="000000"/>
                <w:kern w:val="0"/>
                <w:sz w:val="18"/>
                <w:szCs w:val="18"/>
              </w:rPr>
              <w:t>18、煤炭科学研究总院（原煤炭科学研究总院爆破技术研究所），资质有效期至2014年3月31日。</w:t>
            </w:r>
          </w:p>
          <w:p>
            <w:pPr>
              <w:widowControl/>
              <w:spacing w:line="400" w:lineRule="exact"/>
              <w:ind w:left="232" w:leftChars="104" w:right="63" w:rightChars="30" w:hanging="14" w:hangingChars="8"/>
              <w:jc w:val="left"/>
              <w:rPr>
                <w:rFonts w:ascii="宋体" w:hAnsi="宋体" w:cs="宋体"/>
                <w:color w:val="000000"/>
                <w:kern w:val="0"/>
                <w:sz w:val="18"/>
                <w:szCs w:val="18"/>
              </w:rPr>
            </w:pPr>
            <w:r>
              <w:rPr>
                <w:rFonts w:hint="eastAsia" w:ascii="宋体" w:hAnsi="宋体" w:cs="宋体"/>
                <w:color w:val="000000"/>
                <w:kern w:val="0"/>
                <w:sz w:val="18"/>
                <w:szCs w:val="18"/>
              </w:rPr>
              <w:t>接此通报后，请迅速传达至基层治安部门，并向爆破作业单位广为宣传、告知。</w:t>
            </w:r>
          </w:p>
          <w:p>
            <w:pPr>
              <w:widowControl/>
              <w:spacing w:line="400" w:lineRule="exact"/>
              <w:ind w:left="232" w:leftChars="104" w:right="63" w:rightChars="30" w:hanging="14" w:hangingChars="8"/>
              <w:jc w:val="center"/>
              <w:rPr>
                <w:rFonts w:ascii="宋体" w:hAnsi="宋体" w:cs="宋体"/>
                <w:color w:val="00000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公安部三局</w:t>
            </w:r>
            <w:bookmarkStart w:id="2" w:name="_GoBack"/>
            <w:bookmarkEnd w:id="2"/>
          </w:p>
          <w:p>
            <w:pPr>
              <w:widowControl/>
              <w:spacing w:line="400" w:lineRule="exact"/>
              <w:ind w:left="232" w:leftChars="104" w:right="63" w:rightChars="30" w:hanging="14" w:hangingChars="8"/>
              <w:jc w:val="center"/>
              <w:rPr>
                <w:color w:val="909192"/>
                <w:sz w:val="18"/>
                <w:szCs w:val="18"/>
              </w:rPr>
            </w:pPr>
            <w:r>
              <w:rPr>
                <w:rFonts w:hint="eastAsia" w:ascii="宋体" w:hAnsi="宋体" w:cs="宋体"/>
                <w:color w:val="000000"/>
                <w:kern w:val="0"/>
                <w:sz w:val="18"/>
                <w:szCs w:val="18"/>
              </w:rPr>
              <w:t xml:space="preserve">                      二〇一一年五月二十日</w:t>
            </w:r>
          </w:p>
        </w:tc>
      </w:tr>
      <w:tr>
        <w:tblPrEx>
          <w:tblLayout w:type="fixed"/>
          <w:tblCellMar>
            <w:top w:w="0" w:type="dxa"/>
            <w:left w:w="0" w:type="dxa"/>
            <w:bottom w:w="0" w:type="dxa"/>
            <w:right w:w="0" w:type="dxa"/>
          </w:tblCellMar>
        </w:tblPrEx>
        <w:trPr>
          <w:trHeight w:val="390" w:hRule="atLeast"/>
          <w:tblCellSpacing w:w="0" w:type="dxa"/>
          <w:jc w:val="center"/>
        </w:trPr>
        <w:tc>
          <w:tcPr>
            <w:tcW w:w="8941" w:type="dxa"/>
            <w:shd w:val="clear" w:color="auto" w:fill="F4F4F4"/>
          </w:tcPr>
          <w:p>
            <w:pPr>
              <w:ind w:left="-19" w:leftChars="-9" w:right="63" w:rightChars="30" w:firstLine="14" w:firstLineChars="7"/>
              <w:jc w:val="center"/>
            </w:pPr>
            <w:r>
              <w:rPr>
                <w:rFonts w:hint="eastAsia"/>
              </w:rPr>
              <w:t>http://124.172.232.84:7001/aqpj/news_show.jsp?id=44953&amp;typeid=221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长城仿宋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Cambria">
    <w:altName w:val="Shruti"/>
    <w:panose1 w:val="02040503050406030204"/>
    <w:charset w:val="00"/>
    <w:family w:val="roman"/>
    <w:pitch w:val="default"/>
    <w:sig w:usb0="00000000" w:usb1="00000000" w:usb2="00000000" w:usb3="00000000" w:csb0="0000019F" w:csb1="00000000"/>
  </w:font>
  <w:font w:name="Tahoma">
    <w:panose1 w:val="020B0604030504040204"/>
    <w:charset w:val="00"/>
    <w:family w:val="auto"/>
    <w:pitch w:val="default"/>
    <w:sig w:usb0="61007A87" w:usb1="80000000" w:usb2="00000008" w:usb3="00000000" w:csb0="200101FF" w:csb1="20280000"/>
  </w:font>
  <w:font w:name="Shruti">
    <w:panose1 w:val="02000500000000000000"/>
    <w:charset w:val="00"/>
    <w:family w:val="auto"/>
    <w:pitch w:val="default"/>
    <w:sig w:usb0="0004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0EA3"/>
    <w:rsid w:val="00277B39"/>
    <w:rsid w:val="00571D99"/>
    <w:rsid w:val="0058309D"/>
    <w:rsid w:val="00654DA5"/>
    <w:rsid w:val="007877D7"/>
    <w:rsid w:val="007E0EA3"/>
    <w:rsid w:val="78A1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outlineLvl w:val="0"/>
    </w:pPr>
    <w:rPr>
      <w:rFonts w:ascii="长城仿宋体" w:hAnsi="Times New Roman" w:eastAsia="长城仿宋体"/>
      <w:sz w:val="28"/>
      <w:szCs w:val="20"/>
    </w:rPr>
  </w:style>
  <w:style w:type="paragraph" w:styleId="3">
    <w:name w:val="heading 2"/>
    <w:basedOn w:val="1"/>
    <w:next w:val="1"/>
    <w:link w:val="1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3"/>
    <w:qFormat/>
    <w:uiPriority w:val="0"/>
    <w:pPr>
      <w:keepNext/>
      <w:keepLines/>
      <w:spacing w:before="260" w:after="260" w:line="416" w:lineRule="auto"/>
      <w:outlineLvl w:val="2"/>
    </w:pPr>
    <w:rPr>
      <w:rFonts w:ascii="Times New Roman" w:hAnsi="Times New Roman"/>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Subtitle"/>
    <w:basedOn w:val="1"/>
    <w:next w:val="1"/>
    <w:link w:val="15"/>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unhideWhenUsed/>
    <w:qFormat/>
    <w:uiPriority w:val="99"/>
    <w:rPr>
      <w:rFonts w:ascii="Times New Roman" w:hAnsi="Times New Roman"/>
      <w:sz w:val="24"/>
      <w:szCs w:val="20"/>
    </w:rPr>
  </w:style>
  <w:style w:type="paragraph" w:styleId="7">
    <w:name w:val="Title"/>
    <w:basedOn w:val="1"/>
    <w:next w:val="1"/>
    <w:link w:val="14"/>
    <w:qFormat/>
    <w:uiPriority w:val="10"/>
    <w:pPr>
      <w:spacing w:before="240" w:after="60"/>
      <w:jc w:val="center"/>
      <w:outlineLvl w:val="0"/>
    </w:pPr>
    <w:rPr>
      <w:rFonts w:asciiTheme="majorHAnsi" w:hAnsiTheme="majorHAnsi" w:cstheme="majorBidi"/>
      <w:b/>
      <w:bCs/>
      <w:sz w:val="32"/>
      <w:szCs w:val="32"/>
    </w:rPr>
  </w:style>
  <w:style w:type="character" w:styleId="10">
    <w:name w:val="Emphasis"/>
    <w:qFormat/>
    <w:uiPriority w:val="0"/>
    <w:rPr>
      <w:color w:val="CC0000"/>
    </w:rPr>
  </w:style>
  <w:style w:type="character" w:customStyle="1" w:styleId="11">
    <w:name w:val="标题 1 Char"/>
    <w:link w:val="2"/>
    <w:uiPriority w:val="0"/>
    <w:rPr>
      <w:rFonts w:ascii="长城仿宋体" w:hAnsi="Times New Roman" w:eastAsia="长城仿宋体"/>
      <w:kern w:val="2"/>
      <w:sz w:val="28"/>
    </w:rPr>
  </w:style>
  <w:style w:type="character" w:customStyle="1" w:styleId="12">
    <w:name w:val="标题 2 Char"/>
    <w:basedOn w:val="9"/>
    <w:link w:val="3"/>
    <w:uiPriority w:val="0"/>
    <w:rPr>
      <w:rFonts w:ascii="Arial" w:hAnsi="Arial" w:eastAsia="黑体"/>
      <w:b/>
      <w:bCs/>
      <w:kern w:val="2"/>
      <w:sz w:val="32"/>
      <w:szCs w:val="32"/>
    </w:rPr>
  </w:style>
  <w:style w:type="character" w:customStyle="1" w:styleId="13">
    <w:name w:val="标题 3 Char"/>
    <w:link w:val="4"/>
    <w:uiPriority w:val="0"/>
    <w:rPr>
      <w:rFonts w:ascii="Times New Roman" w:hAnsi="Times New Roman"/>
      <w:b/>
      <w:bCs/>
      <w:kern w:val="2"/>
      <w:sz w:val="32"/>
      <w:szCs w:val="32"/>
    </w:rPr>
  </w:style>
  <w:style w:type="character" w:customStyle="1" w:styleId="14">
    <w:name w:val="标题 Char"/>
    <w:basedOn w:val="9"/>
    <w:link w:val="7"/>
    <w:uiPriority w:val="10"/>
    <w:rPr>
      <w:rFonts w:asciiTheme="majorHAnsi" w:hAnsiTheme="majorHAnsi" w:cstheme="majorBidi"/>
      <w:b/>
      <w:bCs/>
      <w:kern w:val="2"/>
      <w:sz w:val="32"/>
      <w:szCs w:val="32"/>
    </w:rPr>
  </w:style>
  <w:style w:type="character" w:customStyle="1" w:styleId="15">
    <w:name w:val="副标题 Char"/>
    <w:basedOn w:val="9"/>
    <w:link w:val="5"/>
    <w:uiPriority w:val="0"/>
    <w:rPr>
      <w:rFonts w:ascii="Cambria" w:hAnsi="Cambria"/>
      <w:b/>
      <w:bCs/>
      <w:kern w:val="28"/>
      <w:sz w:val="32"/>
      <w:szCs w:val="32"/>
    </w:rPr>
  </w:style>
  <w:style w:type="paragraph" w:styleId="1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ep</Company>
  <Pages>1</Pages>
  <Words>155</Words>
  <Characters>889</Characters>
  <Lines>7</Lines>
  <Paragraphs>2</Paragraphs>
  <TotalTime>2</TotalTime>
  <ScaleCrop>false</ScaleCrop>
  <LinksUpToDate>false</LinksUpToDate>
  <CharactersWithSpaces>1042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2017-02-13T03:24:00Z</dcterms:created>
  <dc:creator>罗俏丽</dc:creator>
  <cp:lastModifiedBy>大海</cp:lastModifiedBy>
  <dcterms:modified xsi:type="dcterms:W3CDTF">2019-09-16T02:31:05Z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