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3CFE" w:rsidRDefault="00D93CFE" w:rsidP="00D93CFE">
      <w:pPr>
        <w:pStyle w:val="2"/>
        <w:spacing w:before="100" w:beforeAutospacing="1" w:after="100" w:afterAutospacing="1"/>
        <w:jc w:val="center"/>
      </w:pPr>
      <w:r>
        <w:rPr>
          <w:rFonts w:ascii="宋体" w:hAnsi="宋体" w:hint="eastAsia"/>
        </w:rPr>
        <w:t>安徽建筑大学关于修订</w:t>
      </w:r>
      <w:r>
        <w:rPr>
          <w:rFonts w:hint="eastAsia"/>
        </w:rPr>
        <w:t>2015</w:t>
      </w:r>
      <w:r>
        <w:rPr>
          <w:rFonts w:ascii="宋体" w:hAnsi="宋体" w:hint="eastAsia"/>
        </w:rPr>
        <w:t>版本科专业人才培养方案的原则意见</w:t>
      </w:r>
    </w:p>
    <w:p w:rsidR="00D93CFE" w:rsidRDefault="00D93CFE" w:rsidP="00D93CFE">
      <w:pPr>
        <w:widowControl/>
        <w:spacing w:before="100" w:beforeAutospacing="1" w:after="100" w:afterAutospacing="1"/>
        <w:jc w:val="center"/>
        <w:rPr>
          <w:rFonts w:ascii="宋体" w:hAnsi="宋体" w:hint="eastAsia"/>
          <w:kern w:val="0"/>
          <w:sz w:val="24"/>
          <w:szCs w:val="24"/>
        </w:rPr>
      </w:pPr>
      <w:r>
        <w:rPr>
          <w:rFonts w:ascii="宋体" w:hAnsi="宋体" w:hint="eastAsia"/>
          <w:sz w:val="24"/>
          <w:szCs w:val="24"/>
        </w:rPr>
        <w:t>校函〔2014〕156号</w:t>
      </w:r>
    </w:p>
    <w:p w:rsidR="00D93CFE" w:rsidRDefault="00D93CFE" w:rsidP="00D93CFE">
      <w:pPr>
        <w:widowControl/>
        <w:spacing w:line="312" w:lineRule="auto"/>
        <w:ind w:firstLineChars="200" w:firstLine="480"/>
        <w:rPr>
          <w:rFonts w:ascii="宋体" w:hAnsi="宋体" w:hint="eastAsia"/>
          <w:kern w:val="0"/>
          <w:sz w:val="24"/>
          <w:szCs w:val="24"/>
        </w:rPr>
      </w:pPr>
      <w:r>
        <w:rPr>
          <w:rFonts w:ascii="宋体" w:hAnsi="宋体" w:hint="eastAsia"/>
          <w:kern w:val="0"/>
          <w:sz w:val="24"/>
          <w:szCs w:val="24"/>
        </w:rPr>
        <w:t>人才培养方案是学校教育教学工作的纲领性文件。它集中体现国家教育方针、学校办学思想和理念，是学校实现人才培养目标和基本规格要求的总体计划和实施方案。</w:t>
      </w:r>
    </w:p>
    <w:p w:rsidR="00D93CFE" w:rsidRDefault="00D93CFE" w:rsidP="00D93CFE">
      <w:pPr>
        <w:widowControl/>
        <w:spacing w:line="312" w:lineRule="auto"/>
        <w:ind w:firstLineChars="200" w:firstLine="480"/>
        <w:rPr>
          <w:rFonts w:ascii="宋体" w:hAnsi="宋体" w:hint="eastAsia"/>
          <w:kern w:val="0"/>
          <w:sz w:val="24"/>
          <w:szCs w:val="24"/>
        </w:rPr>
      </w:pPr>
      <w:r>
        <w:rPr>
          <w:rFonts w:ascii="宋体" w:hAnsi="宋体" w:hint="eastAsia"/>
          <w:kern w:val="0"/>
          <w:sz w:val="24"/>
          <w:szCs w:val="24"/>
        </w:rPr>
        <w:t>为深入贯彻落实《国家中长期教育改革和发展规划纲要（2010-2020年）》、《教育部财政部关于“十二五”期间实施“高等学校本科教学质量与教学改革工程”的意见》（教高〔2011〕6号）、《教育部关于全面提高高等教育质量的若干意见》（教高[2012]4号）及《教育部关于印发《普通高等学校本科专业目录（2012年）》《普通高等学校本科专业设置管理规定》等文件的通知》（教高〔2012〕9号）等文件精神，进一步深化人才培养模式改革，学校决定在2011版本科专业人才培养方案的基础上，启动新版（2015版）本科专业人才培养方案修订工作。现对2015版本科专业人才培养方案修订工作提出如下意见：</w:t>
      </w:r>
    </w:p>
    <w:p w:rsidR="00D93CFE" w:rsidRDefault="00D93CFE" w:rsidP="00D93CFE">
      <w:pPr>
        <w:widowControl/>
        <w:spacing w:line="312" w:lineRule="auto"/>
        <w:ind w:firstLineChars="200" w:firstLine="482"/>
        <w:rPr>
          <w:rFonts w:ascii="宋体" w:hAnsi="宋体" w:hint="eastAsia"/>
          <w:b/>
          <w:bCs/>
          <w:kern w:val="0"/>
          <w:sz w:val="24"/>
          <w:szCs w:val="24"/>
        </w:rPr>
      </w:pPr>
      <w:r>
        <w:rPr>
          <w:rFonts w:ascii="宋体" w:hAnsi="宋体" w:hint="eastAsia"/>
          <w:b/>
          <w:bCs/>
          <w:kern w:val="0"/>
          <w:sz w:val="24"/>
          <w:szCs w:val="24"/>
        </w:rPr>
        <w:t>一、指导思想</w:t>
      </w:r>
    </w:p>
    <w:p w:rsidR="00D93CFE" w:rsidRDefault="00D93CFE" w:rsidP="00D93CFE">
      <w:pPr>
        <w:widowControl/>
        <w:spacing w:line="312" w:lineRule="auto"/>
        <w:ind w:firstLineChars="200" w:firstLine="480"/>
        <w:rPr>
          <w:rFonts w:ascii="宋体" w:hAnsi="宋体" w:hint="eastAsia"/>
          <w:kern w:val="0"/>
          <w:sz w:val="24"/>
          <w:szCs w:val="24"/>
        </w:rPr>
      </w:pPr>
      <w:r>
        <w:rPr>
          <w:rFonts w:ascii="宋体" w:hAnsi="宋体" w:hint="eastAsia"/>
          <w:kern w:val="0"/>
          <w:sz w:val="24"/>
          <w:szCs w:val="24"/>
        </w:rPr>
        <w:t>以邓小平理论、“三个代表”重要思想和科学发展观为指导，深入学习贯彻落实党的十八大对高等教育工作提出的新要求和教育部《关于全面提高高等教育质量的若干意见》精神，遵循教育教学规律，坚持育人为本，紧扣学校发展目标及办学定位，充分发挥学校的办学特色和学科优势，全面深化本科人才培养模式改革，积极借鉴和吸取国内外高等教育教学改革的成果和先进经验，并将我校近年来的教育教学改革系列成果内化到新的培养方案中，为培养知识、能力、素质协调发展，适应社会和行业发展需要的应用型和复合型人才奠定坚实的基础。</w:t>
      </w:r>
    </w:p>
    <w:p w:rsidR="00D93CFE" w:rsidRDefault="00D93CFE" w:rsidP="00D93CFE">
      <w:pPr>
        <w:widowControl/>
        <w:spacing w:line="312" w:lineRule="auto"/>
        <w:ind w:firstLineChars="200" w:firstLine="482"/>
        <w:rPr>
          <w:rFonts w:ascii="宋体" w:hAnsi="宋体" w:hint="eastAsia"/>
          <w:b/>
          <w:bCs/>
          <w:kern w:val="0"/>
          <w:sz w:val="24"/>
          <w:szCs w:val="24"/>
        </w:rPr>
      </w:pPr>
      <w:r>
        <w:rPr>
          <w:rFonts w:ascii="宋体" w:hAnsi="宋体" w:hint="eastAsia"/>
          <w:b/>
          <w:bCs/>
          <w:kern w:val="0"/>
          <w:sz w:val="24"/>
          <w:szCs w:val="24"/>
        </w:rPr>
        <w:t>二、基本原则</w:t>
      </w:r>
    </w:p>
    <w:p w:rsidR="00D93CFE" w:rsidRDefault="00D93CFE" w:rsidP="00D93CFE">
      <w:pPr>
        <w:widowControl/>
        <w:spacing w:line="312" w:lineRule="auto"/>
        <w:ind w:firstLineChars="200" w:firstLine="482"/>
        <w:rPr>
          <w:rFonts w:ascii="宋体" w:hAnsi="宋体" w:hint="eastAsia"/>
          <w:kern w:val="0"/>
          <w:sz w:val="24"/>
          <w:szCs w:val="24"/>
        </w:rPr>
      </w:pPr>
      <w:r>
        <w:rPr>
          <w:rFonts w:ascii="宋体" w:hAnsi="宋体" w:hint="eastAsia"/>
          <w:b/>
          <w:bCs/>
          <w:kern w:val="0"/>
          <w:sz w:val="24"/>
          <w:szCs w:val="24"/>
        </w:rPr>
        <w:t>（一）细化标准，突显特色</w:t>
      </w:r>
    </w:p>
    <w:p w:rsidR="00D93CFE" w:rsidRDefault="00D93CFE" w:rsidP="00D93CFE">
      <w:pPr>
        <w:widowControl/>
        <w:spacing w:line="312" w:lineRule="auto"/>
        <w:ind w:firstLineChars="200" w:firstLine="480"/>
        <w:rPr>
          <w:rFonts w:ascii="宋体" w:hAnsi="宋体" w:hint="eastAsia"/>
          <w:kern w:val="0"/>
          <w:sz w:val="24"/>
          <w:szCs w:val="24"/>
        </w:rPr>
      </w:pPr>
      <w:r>
        <w:rPr>
          <w:rFonts w:ascii="宋体" w:hAnsi="宋体" w:hint="eastAsia"/>
          <w:kern w:val="0"/>
          <w:sz w:val="24"/>
          <w:szCs w:val="24"/>
        </w:rPr>
        <w:t>根据学校人才培养目标定位、专业发展历史沿革、以及社会对人才需求的变化，在参照教育部颁布的《普通高校本科专业目录和专业介绍（2012年）》中专业基本要求和各专业指导委员会制定的专业规范基础上，进一步明确各专业人才培养规格和要求，突显专业特色。各专业需详细分析地方性高校背景下人才培养如何与区域经济、社会发展相结合，需紧紧围绕学校整体发展和人才培养目标定位，制定专业培养标准，细化专业培养目标与人才培养规格，据此设计课程教学大纲，完善教学环节，以实现培养方案中的各门课程和具体教育教学环节都能支撑的专业培养标准。</w:t>
      </w:r>
    </w:p>
    <w:p w:rsidR="00D93CFE" w:rsidRDefault="00D93CFE" w:rsidP="00D93CFE">
      <w:pPr>
        <w:widowControl/>
        <w:spacing w:line="312" w:lineRule="auto"/>
        <w:ind w:firstLineChars="200" w:firstLine="482"/>
        <w:rPr>
          <w:rFonts w:ascii="宋体" w:hAnsi="宋体" w:hint="eastAsia"/>
          <w:kern w:val="0"/>
          <w:sz w:val="24"/>
          <w:szCs w:val="24"/>
        </w:rPr>
      </w:pPr>
      <w:r>
        <w:rPr>
          <w:rFonts w:ascii="宋体" w:hAnsi="宋体" w:hint="eastAsia"/>
          <w:b/>
          <w:bCs/>
          <w:kern w:val="0"/>
          <w:sz w:val="24"/>
          <w:szCs w:val="24"/>
        </w:rPr>
        <w:lastRenderedPageBreak/>
        <w:t>（二）整体优化，传承创新</w:t>
      </w:r>
    </w:p>
    <w:p w:rsidR="00D93CFE" w:rsidRDefault="00D93CFE" w:rsidP="00D93CFE">
      <w:pPr>
        <w:widowControl/>
        <w:spacing w:line="312" w:lineRule="auto"/>
        <w:ind w:firstLineChars="200" w:firstLine="480"/>
        <w:rPr>
          <w:rFonts w:ascii="宋体" w:hAnsi="宋体" w:hint="eastAsia"/>
          <w:kern w:val="0"/>
          <w:sz w:val="24"/>
          <w:szCs w:val="24"/>
        </w:rPr>
      </w:pPr>
      <w:r>
        <w:rPr>
          <w:rFonts w:ascii="宋体" w:hAnsi="宋体" w:hint="eastAsia"/>
          <w:kern w:val="0"/>
          <w:sz w:val="24"/>
          <w:szCs w:val="24"/>
        </w:rPr>
        <w:t>新一轮培养方案修订是对2011版本科人才培养方案的进一步总结、完善、优化和升华。在认真总结2011版本科人才培养方案已取得成效和尚存不足的基础上，更新教育教学观念，努力探索提高人才培养质量的新思路和新举措。</w:t>
      </w:r>
    </w:p>
    <w:p w:rsidR="00D93CFE" w:rsidRDefault="00D93CFE" w:rsidP="00D93CFE">
      <w:pPr>
        <w:widowControl/>
        <w:spacing w:line="312" w:lineRule="auto"/>
        <w:ind w:firstLineChars="200" w:firstLine="480"/>
        <w:rPr>
          <w:rFonts w:ascii="宋体" w:hAnsi="宋体" w:hint="eastAsia"/>
          <w:kern w:val="0"/>
          <w:sz w:val="24"/>
          <w:szCs w:val="24"/>
        </w:rPr>
      </w:pPr>
      <w:r>
        <w:rPr>
          <w:rFonts w:ascii="宋体" w:hAnsi="宋体" w:hint="eastAsia"/>
          <w:kern w:val="0"/>
          <w:sz w:val="24"/>
          <w:szCs w:val="24"/>
        </w:rPr>
        <w:t>通过进一步深化多样化人才培养模式改革、进一步完善学分制运行模式、进一步凝练专业核心课程和打造大类学科基础课程（群）平台、进一步推进专业辅修制来做好传承和衔接；通过明确卓越类实践教学体系的具体实施方案，强化实践性联合培养教学环节，寻求在与企业和行业联合培养的体制机制上能够有所突破和创新；通过进一步控制总学分和总学时，给学生的自主学习和个性发展留有足够的空间，构建有利于学生知识、能力、素质协调发展的课程体系，对人才培养方案进行整体优化；合理安排课程顺序，避免课程内容重复、次序混乱、各学期课程安排不均衡等问题发生，使课程先行后续合理安排，保证教学工作按照专业培养目标和教学次序有条不紊地开展。</w:t>
      </w:r>
    </w:p>
    <w:p w:rsidR="00D93CFE" w:rsidRDefault="00D93CFE" w:rsidP="00D93CFE">
      <w:pPr>
        <w:widowControl/>
        <w:spacing w:line="312" w:lineRule="auto"/>
        <w:ind w:firstLineChars="200" w:firstLine="482"/>
        <w:rPr>
          <w:rFonts w:ascii="宋体" w:hAnsi="宋体" w:hint="eastAsia"/>
          <w:kern w:val="0"/>
          <w:sz w:val="24"/>
          <w:szCs w:val="24"/>
        </w:rPr>
      </w:pPr>
      <w:r>
        <w:rPr>
          <w:rFonts w:ascii="宋体" w:hAnsi="宋体" w:hint="eastAsia"/>
          <w:b/>
          <w:bCs/>
          <w:kern w:val="0"/>
          <w:sz w:val="24"/>
          <w:szCs w:val="24"/>
        </w:rPr>
        <w:t>（三）以人为本，能力为重</w:t>
      </w:r>
    </w:p>
    <w:p w:rsidR="00D93CFE" w:rsidRDefault="00D93CFE" w:rsidP="00D93CFE">
      <w:pPr>
        <w:widowControl/>
        <w:spacing w:line="312" w:lineRule="auto"/>
        <w:ind w:firstLineChars="200" w:firstLine="480"/>
        <w:rPr>
          <w:rFonts w:ascii="宋体" w:hAnsi="宋体" w:hint="eastAsia"/>
          <w:kern w:val="0"/>
          <w:sz w:val="24"/>
          <w:szCs w:val="24"/>
        </w:rPr>
      </w:pPr>
      <w:r>
        <w:rPr>
          <w:rFonts w:ascii="宋体" w:hAnsi="宋体" w:hint="eastAsia"/>
          <w:kern w:val="0"/>
          <w:sz w:val="24"/>
          <w:szCs w:val="24"/>
        </w:rPr>
        <w:t>各学院各专业在人才培养方案修订过程中，需要牢固树立以学生发展为本的质量意识，以培养创新精神和实践能力为核心，以改革课程体系、强化实践环节为重点，进一步整合课程内容、创新教学方法，在人才培养模式、课程体系、实践教学等方面体现专业特色，增强专业竞争力；需加强调研、集思广益，多方收集信息，避免修订工作的随意性和简单化；需考虑与2011版方案的有效衔接，在延续2011版方案课程体系、平台框架等总体不做大的变动前提下，注重内涵，稳中求变，避免繁杂冗余的无效修订。</w:t>
      </w:r>
    </w:p>
    <w:p w:rsidR="00D93CFE" w:rsidRDefault="00D93CFE" w:rsidP="00D93CFE">
      <w:pPr>
        <w:widowControl/>
        <w:spacing w:line="312" w:lineRule="auto"/>
        <w:ind w:firstLineChars="200" w:firstLine="482"/>
        <w:rPr>
          <w:rFonts w:ascii="宋体" w:hAnsi="宋体" w:hint="eastAsia"/>
          <w:b/>
          <w:bCs/>
          <w:kern w:val="0"/>
          <w:sz w:val="24"/>
          <w:szCs w:val="24"/>
        </w:rPr>
      </w:pPr>
      <w:r>
        <w:rPr>
          <w:rFonts w:ascii="宋体" w:hAnsi="宋体" w:hint="eastAsia"/>
          <w:b/>
          <w:bCs/>
          <w:kern w:val="0"/>
          <w:sz w:val="24"/>
          <w:szCs w:val="24"/>
        </w:rPr>
        <w:t>三、总体要求</w:t>
      </w:r>
    </w:p>
    <w:p w:rsidR="00D93CFE" w:rsidRDefault="00D93CFE" w:rsidP="00D93CFE">
      <w:pPr>
        <w:widowControl/>
        <w:spacing w:line="312" w:lineRule="auto"/>
        <w:ind w:firstLineChars="200" w:firstLine="480"/>
        <w:rPr>
          <w:rFonts w:ascii="宋体" w:hAnsi="宋体" w:hint="eastAsia"/>
          <w:kern w:val="0"/>
          <w:sz w:val="24"/>
          <w:szCs w:val="24"/>
        </w:rPr>
      </w:pPr>
      <w:r>
        <w:rPr>
          <w:rFonts w:ascii="宋体" w:hAnsi="宋体" w:hint="eastAsia"/>
          <w:kern w:val="0"/>
          <w:sz w:val="24"/>
          <w:szCs w:val="24"/>
        </w:rPr>
        <w:t>依据教育部2012年颁布的本科专业目录，积极借鉴“高等学校本科教学质量与教学改革工程”实施以来的教学改革理念、措施和经验，将其固化在人才培养模式和教学过程中；在总结2011版人才培养方案实施过程的基础上，进一步理顺通识教育与专业教育、理论教学与实践教学、学科专业基础与实践能力训练之间的关系，主要在以下几个方面体现改革与调整：</w:t>
      </w:r>
    </w:p>
    <w:p w:rsidR="00D93CFE" w:rsidRDefault="00D93CFE" w:rsidP="00D93CFE">
      <w:pPr>
        <w:widowControl/>
        <w:spacing w:line="312" w:lineRule="auto"/>
        <w:ind w:firstLineChars="200" w:firstLine="480"/>
        <w:rPr>
          <w:rFonts w:ascii="宋体" w:hAnsi="宋体" w:hint="eastAsia"/>
          <w:kern w:val="0"/>
          <w:sz w:val="24"/>
          <w:szCs w:val="24"/>
        </w:rPr>
      </w:pPr>
      <w:r>
        <w:rPr>
          <w:rFonts w:ascii="宋体" w:hAnsi="宋体" w:hint="eastAsia"/>
          <w:kern w:val="0"/>
          <w:sz w:val="24"/>
          <w:szCs w:val="24"/>
        </w:rPr>
        <w:t>1.在方案体系设计上坚持“理论与实践、选修与必修、课内与课外、校内与校外”的结合，体现教育教学各环节对应用型人才培养的作用，在确保实践教学比例的前提下，适度压缩理论教学学时；</w:t>
      </w:r>
    </w:p>
    <w:p w:rsidR="00D93CFE" w:rsidRDefault="00D93CFE" w:rsidP="00D93CFE">
      <w:pPr>
        <w:widowControl/>
        <w:spacing w:line="312" w:lineRule="auto"/>
        <w:ind w:firstLineChars="200" w:firstLine="480"/>
        <w:rPr>
          <w:rFonts w:ascii="宋体" w:hAnsi="宋体" w:hint="eastAsia"/>
          <w:kern w:val="0"/>
          <w:sz w:val="24"/>
          <w:szCs w:val="24"/>
        </w:rPr>
      </w:pPr>
      <w:r>
        <w:rPr>
          <w:rFonts w:ascii="宋体" w:hAnsi="宋体" w:hint="eastAsia"/>
          <w:kern w:val="0"/>
          <w:sz w:val="24"/>
          <w:szCs w:val="24"/>
        </w:rPr>
        <w:t>2.各专业要依据《普通高等学校本科专业目录和专业介绍（2012年）》的要求，结合我校专业特色，进一步明确专业培养目标和培养标准，及时将“质量工程”成果固化在人才培养方案中，不断提高人才培养质量。不断优化课程体系，</w:t>
      </w:r>
      <w:r>
        <w:rPr>
          <w:rFonts w:ascii="宋体" w:hAnsi="宋体" w:hint="eastAsia"/>
          <w:kern w:val="0"/>
          <w:sz w:val="24"/>
          <w:szCs w:val="24"/>
        </w:rPr>
        <w:lastRenderedPageBreak/>
        <w:t>确定8-10门左右的专业核心课程（学分控制在35以内），建设3-5门能体现专业优势、反映行业特色、彰显我校人才培养特点的专业特色课程；</w:t>
      </w:r>
    </w:p>
    <w:p w:rsidR="00D93CFE" w:rsidRDefault="00D93CFE" w:rsidP="00D93CFE">
      <w:pPr>
        <w:widowControl/>
        <w:spacing w:line="312" w:lineRule="auto"/>
        <w:ind w:firstLineChars="200" w:firstLine="480"/>
        <w:rPr>
          <w:rFonts w:ascii="宋体" w:hAnsi="宋体" w:hint="eastAsia"/>
          <w:kern w:val="0"/>
          <w:sz w:val="24"/>
          <w:szCs w:val="24"/>
        </w:rPr>
      </w:pPr>
      <w:r>
        <w:rPr>
          <w:rFonts w:ascii="宋体" w:hAnsi="宋体" w:hint="eastAsia"/>
          <w:kern w:val="0"/>
          <w:sz w:val="24"/>
          <w:szCs w:val="24"/>
        </w:rPr>
        <w:t>3.要进一步完善通识课程和主要学科大类基础课程教学改革方案，满足学生不同的学业发展需求，各学院均须构建至少一个大类学科基础课程群平台；</w:t>
      </w:r>
    </w:p>
    <w:p w:rsidR="00D93CFE" w:rsidRDefault="00D93CFE" w:rsidP="00D93CFE">
      <w:pPr>
        <w:widowControl/>
        <w:spacing w:line="312" w:lineRule="auto"/>
        <w:ind w:firstLineChars="200" w:firstLine="480"/>
        <w:rPr>
          <w:rFonts w:ascii="宋体" w:hAnsi="宋体" w:hint="eastAsia"/>
          <w:kern w:val="0"/>
          <w:sz w:val="24"/>
          <w:szCs w:val="24"/>
        </w:rPr>
      </w:pPr>
      <w:r>
        <w:rPr>
          <w:rFonts w:ascii="宋体" w:hAnsi="宋体" w:hint="eastAsia"/>
          <w:kern w:val="0"/>
          <w:sz w:val="24"/>
          <w:szCs w:val="24"/>
        </w:rPr>
        <w:t>4.要进一步推进辅修第二专业人才培养模式，在土木工程、工程管理、商贸英语、法学、人力资源管理等5个专业继续开设辅修专业的基础上，扩大辅修专业开设数，原则上每学院应至少提交一个辅修专业培养方案。</w:t>
      </w:r>
    </w:p>
    <w:p w:rsidR="00D93CFE" w:rsidRDefault="00D93CFE" w:rsidP="00D93CFE">
      <w:pPr>
        <w:widowControl/>
        <w:spacing w:line="312" w:lineRule="auto"/>
        <w:ind w:firstLineChars="200" w:firstLine="482"/>
        <w:rPr>
          <w:rFonts w:ascii="宋体" w:hAnsi="宋体" w:hint="eastAsia"/>
          <w:b/>
          <w:bCs/>
          <w:kern w:val="0"/>
          <w:sz w:val="24"/>
          <w:szCs w:val="24"/>
        </w:rPr>
      </w:pPr>
      <w:r>
        <w:rPr>
          <w:rFonts w:ascii="宋体" w:hAnsi="宋体" w:hint="eastAsia"/>
          <w:b/>
          <w:bCs/>
          <w:kern w:val="0"/>
          <w:sz w:val="24"/>
          <w:szCs w:val="24"/>
        </w:rPr>
        <w:t>四、具体内容</w:t>
      </w:r>
    </w:p>
    <w:p w:rsidR="00D93CFE" w:rsidRDefault="00D93CFE" w:rsidP="00D93CFE">
      <w:pPr>
        <w:widowControl/>
        <w:spacing w:line="312" w:lineRule="auto"/>
        <w:ind w:firstLineChars="200" w:firstLine="482"/>
        <w:rPr>
          <w:rFonts w:ascii="宋体" w:hAnsi="宋体" w:hint="eastAsia"/>
          <w:kern w:val="0"/>
          <w:sz w:val="24"/>
          <w:szCs w:val="24"/>
        </w:rPr>
      </w:pPr>
      <w:r>
        <w:rPr>
          <w:rFonts w:ascii="宋体" w:hAnsi="宋体" w:hint="eastAsia"/>
          <w:b/>
          <w:bCs/>
          <w:kern w:val="0"/>
          <w:sz w:val="24"/>
          <w:szCs w:val="24"/>
        </w:rPr>
        <w:t>（一）学制及学期安排</w:t>
      </w:r>
    </w:p>
    <w:p w:rsidR="00D93CFE" w:rsidRDefault="00D93CFE" w:rsidP="00D93CFE">
      <w:pPr>
        <w:widowControl/>
        <w:spacing w:line="312" w:lineRule="auto"/>
        <w:ind w:firstLineChars="200" w:firstLine="480"/>
        <w:rPr>
          <w:rFonts w:ascii="宋体" w:hAnsi="宋体" w:hint="eastAsia"/>
          <w:kern w:val="0"/>
          <w:sz w:val="24"/>
          <w:szCs w:val="24"/>
        </w:rPr>
      </w:pPr>
      <w:r>
        <w:rPr>
          <w:rFonts w:ascii="宋体" w:hAnsi="宋体" w:hint="eastAsia"/>
          <w:kern w:val="0"/>
          <w:sz w:val="24"/>
          <w:szCs w:val="24"/>
        </w:rPr>
        <w:t>1.学制</w:t>
      </w:r>
    </w:p>
    <w:p w:rsidR="00D93CFE" w:rsidRDefault="00D93CFE" w:rsidP="00D93CFE">
      <w:pPr>
        <w:widowControl/>
        <w:spacing w:line="312" w:lineRule="auto"/>
        <w:ind w:firstLineChars="200" w:firstLine="480"/>
        <w:rPr>
          <w:rFonts w:ascii="宋体" w:hAnsi="宋体" w:hint="eastAsia"/>
          <w:kern w:val="0"/>
          <w:sz w:val="24"/>
          <w:szCs w:val="24"/>
        </w:rPr>
      </w:pPr>
      <w:r>
        <w:rPr>
          <w:rFonts w:ascii="宋体" w:hAnsi="宋体" w:hint="eastAsia"/>
          <w:kern w:val="0"/>
          <w:sz w:val="24"/>
          <w:szCs w:val="24"/>
        </w:rPr>
        <w:t>继续实行弹性学制，本科各专业除建筑学、城乡规划专业标准学制为5年外，其余本科各专业标准学制均为4年，学生可在3-6（标准学制4年）或4-7（标准学制5年）年内修完本专业规定的最低学分。</w:t>
      </w:r>
    </w:p>
    <w:p w:rsidR="00D93CFE" w:rsidRDefault="00D93CFE" w:rsidP="00D93CFE">
      <w:pPr>
        <w:widowControl/>
        <w:spacing w:line="312" w:lineRule="auto"/>
        <w:ind w:firstLineChars="200" w:firstLine="480"/>
        <w:rPr>
          <w:rFonts w:ascii="宋体" w:hAnsi="宋体" w:hint="eastAsia"/>
          <w:kern w:val="0"/>
          <w:sz w:val="24"/>
          <w:szCs w:val="24"/>
        </w:rPr>
      </w:pPr>
      <w:r>
        <w:rPr>
          <w:rFonts w:ascii="宋体" w:hAnsi="宋体" w:hint="eastAsia"/>
          <w:kern w:val="0"/>
          <w:sz w:val="24"/>
          <w:szCs w:val="24"/>
        </w:rPr>
        <w:t>2.学期安排</w:t>
      </w:r>
    </w:p>
    <w:p w:rsidR="00D93CFE" w:rsidRDefault="00D93CFE" w:rsidP="00D93CFE">
      <w:pPr>
        <w:widowControl/>
        <w:spacing w:line="312" w:lineRule="auto"/>
        <w:ind w:firstLineChars="200" w:firstLine="480"/>
        <w:rPr>
          <w:rFonts w:ascii="宋体" w:hAnsi="宋体" w:hint="eastAsia"/>
          <w:kern w:val="0"/>
          <w:sz w:val="24"/>
          <w:szCs w:val="24"/>
        </w:rPr>
      </w:pPr>
      <w:r>
        <w:rPr>
          <w:rFonts w:ascii="宋体" w:hAnsi="宋体" w:hint="eastAsia"/>
          <w:kern w:val="0"/>
          <w:sz w:val="24"/>
          <w:szCs w:val="24"/>
        </w:rPr>
        <w:t>按春季学期、秋季学期2个学期制定培养方案和教学计划，每学期20周。</w:t>
      </w:r>
    </w:p>
    <w:p w:rsidR="00D93CFE" w:rsidRDefault="00D93CFE" w:rsidP="00D93CFE">
      <w:pPr>
        <w:widowControl/>
        <w:spacing w:line="312" w:lineRule="auto"/>
        <w:ind w:firstLineChars="200" w:firstLine="482"/>
        <w:rPr>
          <w:rFonts w:ascii="宋体" w:hAnsi="宋体" w:hint="eastAsia"/>
          <w:kern w:val="0"/>
          <w:sz w:val="24"/>
          <w:szCs w:val="24"/>
        </w:rPr>
      </w:pPr>
      <w:r>
        <w:rPr>
          <w:rFonts w:ascii="宋体" w:hAnsi="宋体" w:hint="eastAsia"/>
          <w:b/>
          <w:bCs/>
          <w:kern w:val="0"/>
          <w:sz w:val="24"/>
          <w:szCs w:val="24"/>
        </w:rPr>
        <w:t>（二）学分计算方法</w:t>
      </w:r>
    </w:p>
    <w:p w:rsidR="00D93CFE" w:rsidRDefault="00D93CFE" w:rsidP="00D93CFE">
      <w:pPr>
        <w:widowControl/>
        <w:spacing w:line="312" w:lineRule="auto"/>
        <w:ind w:firstLineChars="200" w:firstLine="480"/>
        <w:rPr>
          <w:rFonts w:ascii="宋体" w:hAnsi="宋体" w:hint="eastAsia"/>
          <w:kern w:val="0"/>
          <w:sz w:val="24"/>
          <w:szCs w:val="24"/>
        </w:rPr>
      </w:pPr>
      <w:r>
        <w:rPr>
          <w:rFonts w:ascii="宋体" w:hAnsi="宋体" w:hint="eastAsia"/>
          <w:kern w:val="0"/>
          <w:sz w:val="24"/>
          <w:szCs w:val="24"/>
        </w:rPr>
        <w:t>除体育课按30学时计1 学分外，其它理论课程按16学时计1学分，理论课程的开设学时应为8的整数倍，最小学分计量为0.5；集中安排的实践性教学环节按每1周计1学分，独立开设的实验课程按30学时1学分折算，课外上机不计学分。</w:t>
      </w:r>
    </w:p>
    <w:p w:rsidR="00D93CFE" w:rsidRDefault="00D93CFE" w:rsidP="00D93CFE">
      <w:pPr>
        <w:widowControl/>
        <w:spacing w:line="312" w:lineRule="auto"/>
        <w:ind w:firstLineChars="200" w:firstLine="480"/>
        <w:rPr>
          <w:rFonts w:ascii="宋体" w:hAnsi="宋体" w:hint="eastAsia"/>
          <w:kern w:val="0"/>
          <w:sz w:val="24"/>
          <w:szCs w:val="24"/>
        </w:rPr>
      </w:pPr>
      <w:r>
        <w:rPr>
          <w:rFonts w:ascii="宋体" w:hAnsi="宋体" w:hint="eastAsia"/>
          <w:kern w:val="0"/>
          <w:sz w:val="24"/>
          <w:szCs w:val="24"/>
        </w:rPr>
        <w:t>课内实验学分直接包含在理论课程学分中，不计入实践教学环节学分。</w:t>
      </w:r>
    </w:p>
    <w:p w:rsidR="00D93CFE" w:rsidRDefault="00D93CFE" w:rsidP="00D93CFE">
      <w:pPr>
        <w:widowControl/>
        <w:spacing w:line="312" w:lineRule="auto"/>
        <w:ind w:firstLineChars="200" w:firstLine="482"/>
        <w:rPr>
          <w:rFonts w:ascii="宋体" w:hAnsi="宋体" w:hint="eastAsia"/>
          <w:kern w:val="0"/>
          <w:sz w:val="24"/>
          <w:szCs w:val="24"/>
        </w:rPr>
      </w:pPr>
      <w:r>
        <w:rPr>
          <w:rFonts w:ascii="宋体" w:hAnsi="宋体" w:hint="eastAsia"/>
          <w:b/>
          <w:bCs/>
          <w:kern w:val="0"/>
          <w:sz w:val="24"/>
          <w:szCs w:val="24"/>
        </w:rPr>
        <w:t>（三）总学分和总学时及周学时规定</w:t>
      </w:r>
    </w:p>
    <w:p w:rsidR="00D93CFE" w:rsidRDefault="00D93CFE" w:rsidP="00D93CFE">
      <w:pPr>
        <w:widowControl/>
        <w:spacing w:line="312" w:lineRule="auto"/>
        <w:ind w:firstLineChars="200" w:firstLine="480"/>
        <w:rPr>
          <w:rFonts w:ascii="宋体" w:hAnsi="宋体" w:hint="eastAsia"/>
          <w:kern w:val="0"/>
          <w:sz w:val="24"/>
          <w:szCs w:val="24"/>
        </w:rPr>
      </w:pPr>
      <w:r>
        <w:rPr>
          <w:rFonts w:ascii="宋体" w:hAnsi="宋体" w:hint="eastAsia"/>
          <w:kern w:val="0"/>
          <w:sz w:val="24"/>
          <w:szCs w:val="24"/>
        </w:rPr>
        <w:t>标准学制4年的专业教学总学分控制在160-175学分（不含大学生社会实践与课外创新创业5学分、公共选修课8学分），理工科专业教学总学分控制在165-175学分，理论教学课内总学时不超过2500（含实验）学时，其它专业教学总学分控制在160-170学分，课内总学时不超过2400（含实验学时）学时。</w:t>
      </w:r>
    </w:p>
    <w:p w:rsidR="00D93CFE" w:rsidRDefault="00D93CFE" w:rsidP="00D93CFE">
      <w:pPr>
        <w:widowControl/>
        <w:spacing w:line="312" w:lineRule="auto"/>
        <w:ind w:firstLineChars="200" w:firstLine="480"/>
        <w:rPr>
          <w:rFonts w:ascii="宋体" w:hAnsi="宋体" w:hint="eastAsia"/>
          <w:kern w:val="0"/>
          <w:sz w:val="24"/>
          <w:szCs w:val="24"/>
        </w:rPr>
      </w:pPr>
      <w:r>
        <w:rPr>
          <w:rFonts w:ascii="宋体" w:hAnsi="宋体" w:hint="eastAsia"/>
          <w:kern w:val="0"/>
          <w:sz w:val="24"/>
          <w:szCs w:val="24"/>
        </w:rPr>
        <w:t>标准学制5年的专业，总学分控制在215-225学分（不含大学生社会实践与课外创新创业5学分、公共选修课8学分），课内总学时不超过2800（含实验）学时。</w:t>
      </w:r>
    </w:p>
    <w:p w:rsidR="00D93CFE" w:rsidRDefault="00D93CFE" w:rsidP="00D93CFE">
      <w:pPr>
        <w:widowControl/>
        <w:spacing w:line="312" w:lineRule="auto"/>
        <w:ind w:firstLineChars="200" w:firstLine="480"/>
        <w:rPr>
          <w:rFonts w:ascii="宋体" w:hAnsi="宋体" w:hint="eastAsia"/>
          <w:kern w:val="0"/>
          <w:sz w:val="24"/>
          <w:szCs w:val="24"/>
        </w:rPr>
      </w:pPr>
      <w:r>
        <w:rPr>
          <w:rFonts w:ascii="宋体" w:hAnsi="宋体" w:hint="eastAsia"/>
          <w:kern w:val="0"/>
          <w:sz w:val="24"/>
          <w:szCs w:val="24"/>
        </w:rPr>
        <w:t>辅修专业培养计划，总学分一般控制在40学分以内，课内总学时一般不超过450学时。</w:t>
      </w:r>
    </w:p>
    <w:p w:rsidR="00D93CFE" w:rsidRDefault="00D93CFE" w:rsidP="00D93CFE">
      <w:pPr>
        <w:widowControl/>
        <w:spacing w:line="312" w:lineRule="auto"/>
        <w:ind w:firstLineChars="200" w:firstLine="480"/>
        <w:rPr>
          <w:rFonts w:ascii="宋体" w:hAnsi="宋体" w:hint="eastAsia"/>
          <w:kern w:val="0"/>
          <w:sz w:val="24"/>
          <w:szCs w:val="24"/>
        </w:rPr>
      </w:pPr>
      <w:r>
        <w:rPr>
          <w:rFonts w:ascii="宋体" w:hAnsi="宋体" w:hint="eastAsia"/>
          <w:kern w:val="0"/>
          <w:sz w:val="24"/>
          <w:szCs w:val="24"/>
        </w:rPr>
        <w:t>各专业应均衡安排各学期课程和课程进程，防止课程进程头重脚轻或周学时倚重倚轻的现象。课内学时不超过32的少学时课程，原则上应按照每周四学时安排教学进程，十周内完成；当学期有多门少学时课程同时开设，应在考虑到逻</w:t>
      </w:r>
      <w:r>
        <w:rPr>
          <w:rFonts w:ascii="宋体" w:hAnsi="宋体" w:hint="eastAsia"/>
          <w:kern w:val="0"/>
          <w:sz w:val="24"/>
          <w:szCs w:val="24"/>
        </w:rPr>
        <w:lastRenderedPageBreak/>
        <w:t>辑关系的前提下分学期前后两个半程交错安排，做到前四学期周学时一般应不高于28学时，后几学期周学时一般应不高于25学时。</w:t>
      </w:r>
    </w:p>
    <w:p w:rsidR="00D93CFE" w:rsidRDefault="00D93CFE" w:rsidP="00D93CFE">
      <w:pPr>
        <w:widowControl/>
        <w:spacing w:line="312" w:lineRule="auto"/>
        <w:ind w:firstLineChars="200" w:firstLine="482"/>
        <w:rPr>
          <w:rFonts w:ascii="宋体" w:hAnsi="宋体" w:hint="eastAsia"/>
          <w:kern w:val="0"/>
          <w:sz w:val="24"/>
          <w:szCs w:val="24"/>
        </w:rPr>
      </w:pPr>
      <w:r>
        <w:rPr>
          <w:rFonts w:ascii="宋体" w:hAnsi="宋体" w:hint="eastAsia"/>
          <w:b/>
          <w:bCs/>
          <w:kern w:val="0"/>
          <w:sz w:val="24"/>
          <w:szCs w:val="24"/>
        </w:rPr>
        <w:t>（四）课程设置及课程体系</w:t>
      </w:r>
    </w:p>
    <w:p w:rsidR="00D93CFE" w:rsidRDefault="00D93CFE" w:rsidP="00D93CFE">
      <w:pPr>
        <w:widowControl/>
        <w:spacing w:line="312" w:lineRule="auto"/>
        <w:ind w:firstLineChars="200" w:firstLine="480"/>
        <w:rPr>
          <w:rFonts w:ascii="宋体" w:hAnsi="宋体" w:hint="eastAsia"/>
          <w:kern w:val="0"/>
          <w:sz w:val="24"/>
          <w:szCs w:val="24"/>
        </w:rPr>
      </w:pPr>
      <w:r>
        <w:rPr>
          <w:rFonts w:ascii="宋体" w:hAnsi="宋体" w:hint="eastAsia"/>
          <w:kern w:val="0"/>
          <w:sz w:val="24"/>
          <w:szCs w:val="24"/>
        </w:rPr>
        <w:t xml:space="preserve">课程设置总体分为两大体系和五大平台，即：理论教学体系和实践教学体系；通识教育基础课程平台、大类学科基础与专业基础课程平台、专业与专业方向课程平台、实践教育平台、素质拓展与创新平台。各模块的课程设置应能与学生能力的培养形成对应关系。 </w:t>
      </w:r>
    </w:p>
    <w:p w:rsidR="00D93CFE" w:rsidRDefault="00D93CFE" w:rsidP="00D93CFE">
      <w:pPr>
        <w:widowControl/>
        <w:spacing w:line="312" w:lineRule="auto"/>
        <w:jc w:val="center"/>
        <w:rPr>
          <w:rFonts w:ascii="宋体" w:hAnsi="宋体" w:hint="eastAsia"/>
          <w:kern w:val="0"/>
        </w:rPr>
      </w:pPr>
      <w:r>
        <w:rPr>
          <w:rFonts w:ascii="宋体" w:hAnsi="宋体" w:hint="eastAsia"/>
          <w:b/>
          <w:bCs/>
          <w:kern w:val="0"/>
        </w:rPr>
        <w:t xml:space="preserve">表1 课程体系及各类课程设置 </w:t>
      </w:r>
    </w:p>
    <w:tbl>
      <w:tblPr>
        <w:tblW w:w="7989" w:type="dxa"/>
        <w:jc w:val="center"/>
        <w:tblLayout w:type="fixed"/>
        <w:tblCellMar>
          <w:left w:w="0" w:type="dxa"/>
          <w:right w:w="0" w:type="dxa"/>
        </w:tblCellMar>
        <w:tblLook w:val="04A0"/>
      </w:tblPr>
      <w:tblGrid>
        <w:gridCol w:w="1805"/>
        <w:gridCol w:w="1156"/>
        <w:gridCol w:w="5028"/>
      </w:tblGrid>
      <w:tr w:rsidR="00D93CFE" w:rsidTr="00D93CFE">
        <w:trPr>
          <w:cantSplit/>
          <w:trHeight w:val="342"/>
          <w:jc w:val="center"/>
        </w:trPr>
        <w:tc>
          <w:tcPr>
            <w:tcW w:w="1805" w:type="dxa"/>
            <w:tcBorders>
              <w:top w:val="single" w:sz="12" w:space="0" w:color="auto"/>
              <w:left w:val="nil"/>
              <w:bottom w:val="single" w:sz="8" w:space="0" w:color="auto"/>
              <w:right w:val="single" w:sz="8" w:space="0" w:color="auto"/>
            </w:tcBorders>
            <w:tcMar>
              <w:top w:w="0" w:type="dxa"/>
              <w:left w:w="108" w:type="dxa"/>
              <w:bottom w:w="0" w:type="dxa"/>
              <w:right w:w="108" w:type="dxa"/>
            </w:tcMar>
            <w:vAlign w:val="center"/>
            <w:hideMark/>
          </w:tcPr>
          <w:p w:rsidR="00D93CFE" w:rsidRDefault="00D93CFE">
            <w:pPr>
              <w:widowControl/>
              <w:jc w:val="center"/>
              <w:rPr>
                <w:rFonts w:ascii="宋体" w:hAnsi="宋体"/>
                <w:b/>
                <w:bCs/>
                <w:kern w:val="0"/>
              </w:rPr>
            </w:pPr>
            <w:r>
              <w:rPr>
                <w:rFonts w:ascii="宋体" w:hAnsi="宋体" w:hint="eastAsia"/>
                <w:b/>
                <w:bCs/>
                <w:kern w:val="0"/>
              </w:rPr>
              <w:t>课程平台</w:t>
            </w:r>
          </w:p>
        </w:tc>
        <w:tc>
          <w:tcPr>
            <w:tcW w:w="1156" w:type="dxa"/>
            <w:tcBorders>
              <w:top w:val="single" w:sz="12" w:space="0" w:color="auto"/>
              <w:left w:val="nil"/>
              <w:bottom w:val="single" w:sz="8" w:space="0" w:color="auto"/>
              <w:right w:val="single" w:sz="8" w:space="0" w:color="auto"/>
            </w:tcBorders>
            <w:tcMar>
              <w:top w:w="0" w:type="dxa"/>
              <w:left w:w="108" w:type="dxa"/>
              <w:bottom w:w="0" w:type="dxa"/>
              <w:right w:w="108" w:type="dxa"/>
            </w:tcMar>
            <w:vAlign w:val="center"/>
            <w:hideMark/>
          </w:tcPr>
          <w:p w:rsidR="00D93CFE" w:rsidRDefault="00D93CFE">
            <w:pPr>
              <w:widowControl/>
              <w:jc w:val="center"/>
              <w:rPr>
                <w:rFonts w:ascii="宋体" w:hAnsi="宋体"/>
                <w:b/>
                <w:bCs/>
                <w:kern w:val="0"/>
              </w:rPr>
            </w:pPr>
            <w:r>
              <w:rPr>
                <w:rFonts w:ascii="宋体" w:hAnsi="宋体" w:hint="eastAsia"/>
                <w:b/>
                <w:bCs/>
                <w:kern w:val="0"/>
              </w:rPr>
              <w:t>课程性质</w:t>
            </w:r>
          </w:p>
        </w:tc>
        <w:tc>
          <w:tcPr>
            <w:tcW w:w="5028" w:type="dxa"/>
            <w:tcBorders>
              <w:top w:val="single" w:sz="12" w:space="0" w:color="auto"/>
              <w:left w:val="nil"/>
              <w:bottom w:val="single" w:sz="8" w:space="0" w:color="auto"/>
              <w:right w:val="nil"/>
            </w:tcBorders>
            <w:tcMar>
              <w:top w:w="0" w:type="dxa"/>
              <w:left w:w="108" w:type="dxa"/>
              <w:bottom w:w="0" w:type="dxa"/>
              <w:right w:w="108" w:type="dxa"/>
            </w:tcMar>
            <w:vAlign w:val="center"/>
            <w:hideMark/>
          </w:tcPr>
          <w:p w:rsidR="00D93CFE" w:rsidRDefault="00D93CFE">
            <w:pPr>
              <w:widowControl/>
              <w:jc w:val="center"/>
              <w:rPr>
                <w:rFonts w:ascii="宋体" w:hAnsi="宋体"/>
                <w:b/>
                <w:bCs/>
                <w:kern w:val="0"/>
              </w:rPr>
            </w:pPr>
            <w:r>
              <w:rPr>
                <w:rFonts w:ascii="宋体" w:hAnsi="宋体" w:hint="eastAsia"/>
                <w:b/>
                <w:bCs/>
                <w:kern w:val="0"/>
              </w:rPr>
              <w:t>课 程 设 置</w:t>
            </w:r>
          </w:p>
        </w:tc>
      </w:tr>
      <w:tr w:rsidR="00D93CFE" w:rsidTr="00D93CFE">
        <w:trPr>
          <w:cantSplit/>
          <w:trHeight w:val="810"/>
          <w:jc w:val="center"/>
        </w:trPr>
        <w:tc>
          <w:tcPr>
            <w:tcW w:w="1805"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D93CFE" w:rsidRDefault="00D93CFE">
            <w:pPr>
              <w:widowControl/>
              <w:jc w:val="center"/>
              <w:rPr>
                <w:rFonts w:ascii="宋体" w:hAnsi="宋体"/>
                <w:kern w:val="0"/>
              </w:rPr>
            </w:pPr>
            <w:r>
              <w:rPr>
                <w:rFonts w:ascii="宋体" w:hAnsi="宋体" w:hint="eastAsia"/>
                <w:kern w:val="0"/>
              </w:rPr>
              <w:t>通识教育基础</w:t>
            </w:r>
          </w:p>
        </w:tc>
        <w:tc>
          <w:tcPr>
            <w:tcW w:w="115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D93CFE" w:rsidRDefault="00D93CFE">
            <w:pPr>
              <w:widowControl/>
              <w:jc w:val="center"/>
              <w:rPr>
                <w:rFonts w:ascii="宋体" w:hAnsi="宋体"/>
                <w:kern w:val="0"/>
              </w:rPr>
            </w:pPr>
            <w:r>
              <w:rPr>
                <w:rFonts w:ascii="宋体" w:hAnsi="宋体" w:hint="eastAsia"/>
                <w:kern w:val="0"/>
              </w:rPr>
              <w:t>必修</w:t>
            </w:r>
          </w:p>
        </w:tc>
        <w:tc>
          <w:tcPr>
            <w:tcW w:w="5028" w:type="dxa"/>
            <w:tcBorders>
              <w:top w:val="single" w:sz="8" w:space="0" w:color="auto"/>
              <w:left w:val="nil"/>
              <w:bottom w:val="single" w:sz="8" w:space="0" w:color="auto"/>
              <w:right w:val="nil"/>
            </w:tcBorders>
            <w:tcMar>
              <w:top w:w="0" w:type="dxa"/>
              <w:left w:w="108" w:type="dxa"/>
              <w:bottom w:w="0" w:type="dxa"/>
              <w:right w:w="108" w:type="dxa"/>
            </w:tcMar>
            <w:vAlign w:val="center"/>
            <w:hideMark/>
          </w:tcPr>
          <w:p w:rsidR="00D93CFE" w:rsidRDefault="00D93CFE">
            <w:pPr>
              <w:widowControl/>
              <w:jc w:val="left"/>
              <w:rPr>
                <w:rFonts w:ascii="宋体" w:hAnsi="宋体"/>
                <w:kern w:val="0"/>
              </w:rPr>
            </w:pPr>
            <w:r>
              <w:rPr>
                <w:rFonts w:ascii="宋体" w:hAnsi="宋体" w:hint="eastAsia"/>
                <w:kern w:val="0"/>
              </w:rPr>
              <w:t>思政类、大学英语、大学体育、高等数学、计算机基础类、大学物理、化学、工程制图等</w:t>
            </w:r>
          </w:p>
        </w:tc>
      </w:tr>
      <w:tr w:rsidR="00D93CFE" w:rsidTr="00D93CFE">
        <w:trPr>
          <w:cantSplit/>
          <w:trHeight w:val="402"/>
          <w:jc w:val="center"/>
        </w:trPr>
        <w:tc>
          <w:tcPr>
            <w:tcW w:w="1805" w:type="dxa"/>
            <w:vMerge/>
            <w:tcBorders>
              <w:top w:val="nil"/>
              <w:left w:val="nil"/>
              <w:bottom w:val="single" w:sz="8" w:space="0" w:color="auto"/>
              <w:right w:val="single" w:sz="8" w:space="0" w:color="auto"/>
            </w:tcBorders>
            <w:vAlign w:val="center"/>
            <w:hideMark/>
          </w:tcPr>
          <w:p w:rsidR="00D93CFE" w:rsidRDefault="00D93CFE">
            <w:pPr>
              <w:widowControl/>
              <w:jc w:val="left"/>
              <w:rPr>
                <w:rFonts w:ascii="宋体" w:hAnsi="宋体"/>
                <w:kern w:val="0"/>
              </w:rPr>
            </w:pPr>
          </w:p>
        </w:tc>
        <w:tc>
          <w:tcPr>
            <w:tcW w:w="115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D93CFE" w:rsidRDefault="00D93CFE">
            <w:pPr>
              <w:widowControl/>
              <w:jc w:val="center"/>
              <w:rPr>
                <w:rFonts w:ascii="宋体" w:hAnsi="宋体"/>
                <w:kern w:val="0"/>
              </w:rPr>
            </w:pPr>
            <w:r>
              <w:rPr>
                <w:rFonts w:ascii="宋体" w:hAnsi="宋体" w:hint="eastAsia"/>
                <w:kern w:val="0"/>
              </w:rPr>
              <w:t>选修</w:t>
            </w:r>
          </w:p>
        </w:tc>
        <w:tc>
          <w:tcPr>
            <w:tcW w:w="5028" w:type="dxa"/>
            <w:tcBorders>
              <w:top w:val="single" w:sz="8" w:space="0" w:color="auto"/>
              <w:left w:val="nil"/>
              <w:bottom w:val="single" w:sz="8" w:space="0" w:color="auto"/>
              <w:right w:val="nil"/>
            </w:tcBorders>
            <w:tcMar>
              <w:top w:w="0" w:type="dxa"/>
              <w:left w:w="108" w:type="dxa"/>
              <w:bottom w:w="0" w:type="dxa"/>
              <w:right w:w="108" w:type="dxa"/>
            </w:tcMar>
            <w:vAlign w:val="center"/>
            <w:hideMark/>
          </w:tcPr>
          <w:p w:rsidR="00D93CFE" w:rsidRDefault="00D93CFE">
            <w:pPr>
              <w:widowControl/>
              <w:jc w:val="left"/>
              <w:rPr>
                <w:rFonts w:ascii="宋体" w:hAnsi="宋体"/>
                <w:kern w:val="0"/>
              </w:rPr>
            </w:pPr>
            <w:r>
              <w:rPr>
                <w:rFonts w:ascii="宋体" w:hAnsi="宋体" w:hint="eastAsia"/>
                <w:kern w:val="0"/>
              </w:rPr>
              <w:t>包括人文社科、经济管理、理工科技、艺术体育等四大类</w:t>
            </w:r>
          </w:p>
        </w:tc>
      </w:tr>
      <w:tr w:rsidR="00D93CFE" w:rsidTr="00D93CFE">
        <w:trPr>
          <w:cantSplit/>
          <w:trHeight w:val="370"/>
          <w:jc w:val="center"/>
        </w:trPr>
        <w:tc>
          <w:tcPr>
            <w:tcW w:w="1805"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D93CFE" w:rsidRDefault="00D93CFE">
            <w:pPr>
              <w:widowControl/>
              <w:jc w:val="center"/>
              <w:rPr>
                <w:rFonts w:ascii="宋体" w:hAnsi="宋体"/>
                <w:kern w:val="0"/>
              </w:rPr>
            </w:pPr>
            <w:r>
              <w:rPr>
                <w:rFonts w:ascii="宋体" w:hAnsi="宋体" w:hint="eastAsia"/>
                <w:kern w:val="0"/>
              </w:rPr>
              <w:t>大类学科基础与专业基础</w:t>
            </w:r>
          </w:p>
        </w:tc>
        <w:tc>
          <w:tcPr>
            <w:tcW w:w="1156"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D93CFE" w:rsidRDefault="00D93CFE">
            <w:pPr>
              <w:widowControl/>
              <w:jc w:val="center"/>
              <w:rPr>
                <w:rFonts w:ascii="宋体" w:hAnsi="宋体"/>
                <w:kern w:val="0"/>
              </w:rPr>
            </w:pPr>
            <w:r>
              <w:rPr>
                <w:rFonts w:ascii="宋体" w:hAnsi="宋体" w:hint="eastAsia"/>
                <w:kern w:val="0"/>
              </w:rPr>
              <w:t>必修</w:t>
            </w:r>
          </w:p>
        </w:tc>
        <w:tc>
          <w:tcPr>
            <w:tcW w:w="5028" w:type="dxa"/>
            <w:tcBorders>
              <w:top w:val="single" w:sz="8" w:space="0" w:color="auto"/>
              <w:left w:val="nil"/>
              <w:bottom w:val="single" w:sz="8" w:space="0" w:color="auto"/>
              <w:right w:val="nil"/>
            </w:tcBorders>
            <w:tcMar>
              <w:top w:w="0" w:type="dxa"/>
              <w:left w:w="108" w:type="dxa"/>
              <w:bottom w:w="0" w:type="dxa"/>
              <w:right w:w="108" w:type="dxa"/>
            </w:tcMar>
            <w:vAlign w:val="center"/>
            <w:hideMark/>
          </w:tcPr>
          <w:p w:rsidR="00D93CFE" w:rsidRDefault="00D93CFE">
            <w:pPr>
              <w:widowControl/>
              <w:jc w:val="left"/>
              <w:rPr>
                <w:rFonts w:ascii="宋体" w:hAnsi="宋体"/>
                <w:kern w:val="0"/>
              </w:rPr>
            </w:pPr>
            <w:r>
              <w:rPr>
                <w:rFonts w:ascii="宋体" w:hAnsi="宋体" w:hint="eastAsia"/>
                <w:kern w:val="0"/>
              </w:rPr>
              <w:t>面向本学科开设的学科基础课</w:t>
            </w:r>
          </w:p>
        </w:tc>
      </w:tr>
      <w:tr w:rsidR="00D93CFE" w:rsidTr="00D93CFE">
        <w:trPr>
          <w:cantSplit/>
          <w:trHeight w:val="162"/>
          <w:jc w:val="center"/>
        </w:trPr>
        <w:tc>
          <w:tcPr>
            <w:tcW w:w="1805" w:type="dxa"/>
            <w:vMerge/>
            <w:tcBorders>
              <w:top w:val="nil"/>
              <w:left w:val="nil"/>
              <w:bottom w:val="single" w:sz="8" w:space="0" w:color="auto"/>
              <w:right w:val="single" w:sz="8" w:space="0" w:color="auto"/>
            </w:tcBorders>
            <w:vAlign w:val="center"/>
            <w:hideMark/>
          </w:tcPr>
          <w:p w:rsidR="00D93CFE" w:rsidRDefault="00D93CFE">
            <w:pPr>
              <w:widowControl/>
              <w:jc w:val="left"/>
              <w:rPr>
                <w:rFonts w:ascii="宋体" w:hAnsi="宋体"/>
                <w:kern w:val="0"/>
              </w:rPr>
            </w:pPr>
          </w:p>
        </w:tc>
        <w:tc>
          <w:tcPr>
            <w:tcW w:w="1156" w:type="dxa"/>
            <w:vMerge/>
            <w:tcBorders>
              <w:top w:val="nil"/>
              <w:left w:val="nil"/>
              <w:bottom w:val="single" w:sz="8" w:space="0" w:color="auto"/>
              <w:right w:val="single" w:sz="8" w:space="0" w:color="auto"/>
            </w:tcBorders>
            <w:vAlign w:val="center"/>
            <w:hideMark/>
          </w:tcPr>
          <w:p w:rsidR="00D93CFE" w:rsidRDefault="00D93CFE">
            <w:pPr>
              <w:widowControl/>
              <w:jc w:val="left"/>
              <w:rPr>
                <w:rFonts w:ascii="宋体" w:hAnsi="宋体"/>
                <w:kern w:val="0"/>
              </w:rPr>
            </w:pPr>
          </w:p>
        </w:tc>
        <w:tc>
          <w:tcPr>
            <w:tcW w:w="5028" w:type="dxa"/>
            <w:tcBorders>
              <w:top w:val="single" w:sz="8" w:space="0" w:color="auto"/>
              <w:left w:val="nil"/>
              <w:bottom w:val="single" w:sz="8" w:space="0" w:color="auto"/>
              <w:right w:val="nil"/>
            </w:tcBorders>
            <w:tcMar>
              <w:top w:w="0" w:type="dxa"/>
              <w:left w:w="108" w:type="dxa"/>
              <w:bottom w:w="0" w:type="dxa"/>
              <w:right w:w="108" w:type="dxa"/>
            </w:tcMar>
            <w:vAlign w:val="center"/>
            <w:hideMark/>
          </w:tcPr>
          <w:p w:rsidR="00D93CFE" w:rsidRDefault="00D93CFE">
            <w:pPr>
              <w:widowControl/>
              <w:jc w:val="left"/>
              <w:rPr>
                <w:rFonts w:ascii="宋体" w:hAnsi="宋体"/>
                <w:kern w:val="0"/>
              </w:rPr>
            </w:pPr>
            <w:r>
              <w:rPr>
                <w:rFonts w:ascii="宋体" w:hAnsi="宋体" w:hint="eastAsia"/>
                <w:kern w:val="0"/>
              </w:rPr>
              <w:t>面向本专业开设的专业基础课</w:t>
            </w:r>
          </w:p>
        </w:tc>
      </w:tr>
      <w:tr w:rsidR="00D93CFE" w:rsidTr="00D93CFE">
        <w:trPr>
          <w:cantSplit/>
          <w:trHeight w:val="370"/>
          <w:jc w:val="center"/>
        </w:trPr>
        <w:tc>
          <w:tcPr>
            <w:tcW w:w="1805"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D93CFE" w:rsidRDefault="00D93CFE">
            <w:pPr>
              <w:widowControl/>
              <w:jc w:val="center"/>
              <w:rPr>
                <w:rFonts w:ascii="宋体" w:hAnsi="宋体"/>
                <w:kern w:val="0"/>
              </w:rPr>
            </w:pPr>
            <w:r>
              <w:rPr>
                <w:rFonts w:ascii="宋体" w:hAnsi="宋体" w:hint="eastAsia"/>
                <w:kern w:val="0"/>
              </w:rPr>
              <w:t>专业与专业方向</w:t>
            </w:r>
          </w:p>
        </w:tc>
        <w:tc>
          <w:tcPr>
            <w:tcW w:w="115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D93CFE" w:rsidRDefault="00D93CFE">
            <w:pPr>
              <w:widowControl/>
              <w:jc w:val="center"/>
              <w:rPr>
                <w:rFonts w:ascii="宋体" w:hAnsi="宋体"/>
                <w:kern w:val="0"/>
              </w:rPr>
            </w:pPr>
            <w:r>
              <w:rPr>
                <w:rFonts w:ascii="宋体" w:hAnsi="宋体" w:hint="eastAsia"/>
                <w:kern w:val="0"/>
              </w:rPr>
              <w:t>必修</w:t>
            </w:r>
          </w:p>
        </w:tc>
        <w:tc>
          <w:tcPr>
            <w:tcW w:w="5028" w:type="dxa"/>
            <w:tcBorders>
              <w:top w:val="single" w:sz="8" w:space="0" w:color="auto"/>
              <w:left w:val="nil"/>
              <w:bottom w:val="single" w:sz="8" w:space="0" w:color="auto"/>
              <w:right w:val="nil"/>
            </w:tcBorders>
            <w:tcMar>
              <w:top w:w="0" w:type="dxa"/>
              <w:left w:w="108" w:type="dxa"/>
              <w:bottom w:w="0" w:type="dxa"/>
              <w:right w:w="108" w:type="dxa"/>
            </w:tcMar>
            <w:vAlign w:val="center"/>
            <w:hideMark/>
          </w:tcPr>
          <w:p w:rsidR="00D93CFE" w:rsidRDefault="00D93CFE">
            <w:pPr>
              <w:widowControl/>
              <w:jc w:val="left"/>
              <w:rPr>
                <w:rFonts w:ascii="宋体" w:hAnsi="宋体"/>
                <w:kern w:val="0"/>
              </w:rPr>
            </w:pPr>
            <w:r>
              <w:rPr>
                <w:rFonts w:ascii="宋体" w:hAnsi="宋体" w:hint="eastAsia"/>
                <w:kern w:val="0"/>
              </w:rPr>
              <w:t>专业核心课程</w:t>
            </w:r>
          </w:p>
        </w:tc>
      </w:tr>
      <w:tr w:rsidR="00D93CFE" w:rsidTr="00D93CFE">
        <w:trPr>
          <w:cantSplit/>
          <w:trHeight w:val="391"/>
          <w:jc w:val="center"/>
        </w:trPr>
        <w:tc>
          <w:tcPr>
            <w:tcW w:w="1805" w:type="dxa"/>
            <w:vMerge/>
            <w:tcBorders>
              <w:top w:val="nil"/>
              <w:left w:val="nil"/>
              <w:bottom w:val="single" w:sz="8" w:space="0" w:color="auto"/>
              <w:right w:val="single" w:sz="8" w:space="0" w:color="auto"/>
            </w:tcBorders>
            <w:vAlign w:val="center"/>
            <w:hideMark/>
          </w:tcPr>
          <w:p w:rsidR="00D93CFE" w:rsidRDefault="00D93CFE">
            <w:pPr>
              <w:widowControl/>
              <w:jc w:val="left"/>
              <w:rPr>
                <w:rFonts w:ascii="宋体" w:hAnsi="宋体"/>
                <w:kern w:val="0"/>
              </w:rPr>
            </w:pPr>
          </w:p>
        </w:tc>
        <w:tc>
          <w:tcPr>
            <w:tcW w:w="115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D93CFE" w:rsidRDefault="00D93CFE">
            <w:pPr>
              <w:widowControl/>
              <w:jc w:val="center"/>
              <w:rPr>
                <w:rFonts w:ascii="宋体" w:hAnsi="宋体"/>
                <w:kern w:val="0"/>
              </w:rPr>
            </w:pPr>
            <w:r>
              <w:rPr>
                <w:rFonts w:ascii="宋体" w:hAnsi="宋体" w:hint="eastAsia"/>
                <w:kern w:val="0"/>
              </w:rPr>
              <w:t>选修</w:t>
            </w:r>
          </w:p>
        </w:tc>
        <w:tc>
          <w:tcPr>
            <w:tcW w:w="5028" w:type="dxa"/>
            <w:tcBorders>
              <w:top w:val="single" w:sz="8" w:space="0" w:color="auto"/>
              <w:left w:val="nil"/>
              <w:bottom w:val="single" w:sz="8" w:space="0" w:color="auto"/>
              <w:right w:val="nil"/>
            </w:tcBorders>
            <w:tcMar>
              <w:top w:w="0" w:type="dxa"/>
              <w:left w:w="108" w:type="dxa"/>
              <w:bottom w:w="0" w:type="dxa"/>
              <w:right w:w="108" w:type="dxa"/>
            </w:tcMar>
            <w:vAlign w:val="center"/>
            <w:hideMark/>
          </w:tcPr>
          <w:p w:rsidR="00D93CFE" w:rsidRDefault="00D93CFE">
            <w:pPr>
              <w:widowControl/>
              <w:jc w:val="left"/>
              <w:rPr>
                <w:rFonts w:ascii="宋体" w:hAnsi="宋体"/>
                <w:kern w:val="0"/>
              </w:rPr>
            </w:pPr>
            <w:r>
              <w:rPr>
                <w:rFonts w:ascii="宋体" w:hAnsi="宋体" w:hint="eastAsia"/>
                <w:kern w:val="0"/>
              </w:rPr>
              <w:t>由专业特色课程或专业方向系列课程构成，加深专业基础和拓宽专业技能的课程</w:t>
            </w:r>
          </w:p>
        </w:tc>
      </w:tr>
      <w:tr w:rsidR="00D93CFE" w:rsidTr="00D93CFE">
        <w:trPr>
          <w:cantSplit/>
          <w:trHeight w:val="700"/>
          <w:jc w:val="center"/>
        </w:trPr>
        <w:tc>
          <w:tcPr>
            <w:tcW w:w="180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D93CFE" w:rsidRDefault="00D93CFE">
            <w:pPr>
              <w:widowControl/>
              <w:jc w:val="center"/>
              <w:rPr>
                <w:rFonts w:ascii="宋体" w:hAnsi="宋体"/>
                <w:kern w:val="0"/>
              </w:rPr>
            </w:pPr>
            <w:r>
              <w:rPr>
                <w:rFonts w:ascii="宋体" w:hAnsi="宋体" w:hint="eastAsia"/>
                <w:kern w:val="0"/>
              </w:rPr>
              <w:t>实践教学</w:t>
            </w:r>
          </w:p>
        </w:tc>
        <w:tc>
          <w:tcPr>
            <w:tcW w:w="115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D93CFE" w:rsidRDefault="00D93CFE">
            <w:pPr>
              <w:widowControl/>
              <w:jc w:val="center"/>
              <w:rPr>
                <w:rFonts w:ascii="宋体" w:hAnsi="宋体"/>
                <w:kern w:val="0"/>
              </w:rPr>
            </w:pPr>
            <w:r>
              <w:rPr>
                <w:rFonts w:ascii="宋体" w:hAnsi="宋体" w:hint="eastAsia"/>
                <w:kern w:val="0"/>
              </w:rPr>
              <w:t>必修</w:t>
            </w:r>
          </w:p>
        </w:tc>
        <w:tc>
          <w:tcPr>
            <w:tcW w:w="5028" w:type="dxa"/>
            <w:tcBorders>
              <w:top w:val="single" w:sz="8" w:space="0" w:color="auto"/>
              <w:left w:val="nil"/>
              <w:bottom w:val="single" w:sz="8" w:space="0" w:color="auto"/>
              <w:right w:val="nil"/>
            </w:tcBorders>
            <w:tcMar>
              <w:top w:w="0" w:type="dxa"/>
              <w:left w:w="108" w:type="dxa"/>
              <w:bottom w:w="0" w:type="dxa"/>
              <w:right w:w="108" w:type="dxa"/>
            </w:tcMar>
            <w:vAlign w:val="center"/>
            <w:hideMark/>
          </w:tcPr>
          <w:p w:rsidR="00D93CFE" w:rsidRDefault="00D93CFE">
            <w:pPr>
              <w:widowControl/>
              <w:jc w:val="left"/>
              <w:rPr>
                <w:rFonts w:ascii="宋体" w:hAnsi="宋体"/>
                <w:kern w:val="0"/>
              </w:rPr>
            </w:pPr>
            <w:r>
              <w:rPr>
                <w:rFonts w:ascii="宋体" w:hAnsi="宋体" w:hint="eastAsia"/>
                <w:kern w:val="0"/>
              </w:rPr>
              <w:t>课程设计（论文）、认识实习、专业实习、生产实习、实验实训、毕业实习、毕业设计（论文）等</w:t>
            </w:r>
          </w:p>
        </w:tc>
      </w:tr>
      <w:tr w:rsidR="00D93CFE" w:rsidTr="00D93CFE">
        <w:trPr>
          <w:cantSplit/>
          <w:trHeight w:val="370"/>
          <w:jc w:val="center"/>
        </w:trPr>
        <w:tc>
          <w:tcPr>
            <w:tcW w:w="1805"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D93CFE" w:rsidRDefault="00D93CFE">
            <w:pPr>
              <w:widowControl/>
              <w:jc w:val="center"/>
              <w:rPr>
                <w:rFonts w:ascii="宋体" w:hAnsi="宋体"/>
                <w:kern w:val="0"/>
              </w:rPr>
            </w:pPr>
            <w:r>
              <w:rPr>
                <w:rFonts w:ascii="宋体" w:hAnsi="宋体" w:hint="eastAsia"/>
                <w:kern w:val="0"/>
              </w:rPr>
              <w:t>素质拓展与创新</w:t>
            </w:r>
          </w:p>
        </w:tc>
        <w:tc>
          <w:tcPr>
            <w:tcW w:w="115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D93CFE" w:rsidRDefault="00D93CFE">
            <w:pPr>
              <w:widowControl/>
              <w:jc w:val="center"/>
              <w:rPr>
                <w:rFonts w:ascii="宋体" w:hAnsi="宋体"/>
                <w:kern w:val="0"/>
              </w:rPr>
            </w:pPr>
            <w:r>
              <w:rPr>
                <w:rFonts w:ascii="宋体" w:hAnsi="宋体" w:hint="eastAsia"/>
                <w:kern w:val="0"/>
              </w:rPr>
              <w:t>必修</w:t>
            </w:r>
          </w:p>
        </w:tc>
        <w:tc>
          <w:tcPr>
            <w:tcW w:w="5028" w:type="dxa"/>
            <w:tcBorders>
              <w:top w:val="single" w:sz="8" w:space="0" w:color="auto"/>
              <w:left w:val="nil"/>
              <w:bottom w:val="single" w:sz="8" w:space="0" w:color="auto"/>
              <w:right w:val="nil"/>
            </w:tcBorders>
            <w:tcMar>
              <w:top w:w="0" w:type="dxa"/>
              <w:left w:w="108" w:type="dxa"/>
              <w:bottom w:w="0" w:type="dxa"/>
              <w:right w:w="108" w:type="dxa"/>
            </w:tcMar>
            <w:vAlign w:val="center"/>
            <w:hideMark/>
          </w:tcPr>
          <w:p w:rsidR="00D93CFE" w:rsidRDefault="00D93CFE">
            <w:pPr>
              <w:widowControl/>
              <w:jc w:val="left"/>
              <w:rPr>
                <w:rFonts w:ascii="宋体" w:hAnsi="宋体"/>
                <w:kern w:val="0"/>
              </w:rPr>
            </w:pPr>
            <w:r>
              <w:rPr>
                <w:rFonts w:ascii="宋体" w:hAnsi="宋体" w:hint="eastAsia"/>
                <w:kern w:val="0"/>
              </w:rPr>
              <w:t>军事教育、形势与政策、大学生心理健康教育、大学生就业教育、安全教育等</w:t>
            </w:r>
          </w:p>
        </w:tc>
      </w:tr>
      <w:tr w:rsidR="00D93CFE" w:rsidTr="00D93CFE">
        <w:trPr>
          <w:cantSplit/>
          <w:trHeight w:val="323"/>
          <w:jc w:val="center"/>
        </w:trPr>
        <w:tc>
          <w:tcPr>
            <w:tcW w:w="1805" w:type="dxa"/>
            <w:vMerge/>
            <w:tcBorders>
              <w:top w:val="nil"/>
              <w:left w:val="nil"/>
              <w:bottom w:val="single" w:sz="8" w:space="0" w:color="auto"/>
              <w:right w:val="single" w:sz="8" w:space="0" w:color="auto"/>
            </w:tcBorders>
            <w:vAlign w:val="center"/>
            <w:hideMark/>
          </w:tcPr>
          <w:p w:rsidR="00D93CFE" w:rsidRDefault="00D93CFE">
            <w:pPr>
              <w:widowControl/>
              <w:jc w:val="left"/>
              <w:rPr>
                <w:rFonts w:ascii="宋体" w:hAnsi="宋体"/>
                <w:kern w:val="0"/>
              </w:rPr>
            </w:pPr>
          </w:p>
        </w:tc>
        <w:tc>
          <w:tcPr>
            <w:tcW w:w="1156" w:type="dxa"/>
            <w:tcBorders>
              <w:top w:val="single" w:sz="8" w:space="0" w:color="auto"/>
              <w:left w:val="nil"/>
              <w:bottom w:val="single" w:sz="12" w:space="0" w:color="auto"/>
              <w:right w:val="single" w:sz="8" w:space="0" w:color="auto"/>
            </w:tcBorders>
            <w:tcMar>
              <w:top w:w="0" w:type="dxa"/>
              <w:left w:w="108" w:type="dxa"/>
              <w:bottom w:w="0" w:type="dxa"/>
              <w:right w:w="108" w:type="dxa"/>
            </w:tcMar>
            <w:vAlign w:val="center"/>
            <w:hideMark/>
          </w:tcPr>
          <w:p w:rsidR="00D93CFE" w:rsidRDefault="00D93CFE">
            <w:pPr>
              <w:widowControl/>
              <w:jc w:val="center"/>
              <w:rPr>
                <w:rFonts w:ascii="宋体" w:hAnsi="宋体"/>
                <w:kern w:val="0"/>
              </w:rPr>
            </w:pPr>
            <w:r>
              <w:rPr>
                <w:rFonts w:ascii="宋体" w:hAnsi="宋体" w:hint="eastAsia"/>
                <w:kern w:val="0"/>
              </w:rPr>
              <w:t>选修</w:t>
            </w:r>
          </w:p>
        </w:tc>
        <w:tc>
          <w:tcPr>
            <w:tcW w:w="5028" w:type="dxa"/>
            <w:tcBorders>
              <w:top w:val="single" w:sz="8" w:space="0" w:color="auto"/>
              <w:left w:val="nil"/>
              <w:bottom w:val="single" w:sz="12" w:space="0" w:color="auto"/>
              <w:right w:val="nil"/>
            </w:tcBorders>
            <w:tcMar>
              <w:top w:w="0" w:type="dxa"/>
              <w:left w:w="108" w:type="dxa"/>
              <w:bottom w:w="0" w:type="dxa"/>
              <w:right w:w="108" w:type="dxa"/>
            </w:tcMar>
            <w:vAlign w:val="center"/>
            <w:hideMark/>
          </w:tcPr>
          <w:p w:rsidR="00D93CFE" w:rsidRDefault="00D93CFE">
            <w:pPr>
              <w:widowControl/>
              <w:jc w:val="left"/>
              <w:rPr>
                <w:rFonts w:ascii="宋体" w:hAnsi="宋体"/>
                <w:kern w:val="0"/>
              </w:rPr>
            </w:pPr>
            <w:r>
              <w:rPr>
                <w:rFonts w:ascii="宋体" w:hAnsi="宋体" w:hint="eastAsia"/>
                <w:kern w:val="0"/>
              </w:rPr>
              <w:t>学科竞赛、社会实践、创新教育、学科拓展</w:t>
            </w:r>
          </w:p>
        </w:tc>
      </w:tr>
    </w:tbl>
    <w:p w:rsidR="00D93CFE" w:rsidRDefault="00D93CFE" w:rsidP="00D93CFE">
      <w:pPr>
        <w:widowControl/>
        <w:jc w:val="left"/>
        <w:rPr>
          <w:rFonts w:ascii="宋体" w:hAnsi="宋体" w:hint="eastAsia"/>
          <w:kern w:val="0"/>
        </w:rPr>
      </w:pPr>
      <w:r>
        <w:rPr>
          <w:rFonts w:ascii="宋体" w:hAnsi="宋体" w:hint="eastAsia"/>
          <w:kern w:val="0"/>
        </w:rPr>
        <w:t xml:space="preserve"> </w:t>
      </w:r>
    </w:p>
    <w:p w:rsidR="00D93CFE" w:rsidRDefault="00D93CFE" w:rsidP="00D93CFE">
      <w:pPr>
        <w:widowControl/>
        <w:jc w:val="left"/>
        <w:rPr>
          <w:rFonts w:ascii="宋体" w:hAnsi="宋体" w:hint="eastAsia"/>
          <w:kern w:val="0"/>
          <w:sz w:val="24"/>
          <w:szCs w:val="24"/>
        </w:rPr>
      </w:pPr>
      <w:r>
        <w:rPr>
          <w:rFonts w:ascii="宋体" w:hAnsi="宋体" w:hint="eastAsia"/>
          <w:b/>
          <w:bCs/>
          <w:kern w:val="0"/>
          <w:sz w:val="24"/>
          <w:szCs w:val="24"/>
        </w:rPr>
        <w:t xml:space="preserve">    （五）课程框架及总体要求</w:t>
      </w:r>
    </w:p>
    <w:p w:rsidR="00D93CFE" w:rsidRDefault="00D93CFE" w:rsidP="00D93CFE">
      <w:pPr>
        <w:widowControl/>
        <w:spacing w:line="312" w:lineRule="auto"/>
        <w:jc w:val="left"/>
        <w:rPr>
          <w:rFonts w:ascii="宋体" w:hAnsi="宋体" w:hint="eastAsia"/>
          <w:b/>
          <w:bCs/>
          <w:kern w:val="0"/>
        </w:rPr>
      </w:pPr>
      <w:r>
        <w:rPr>
          <w:rFonts w:ascii="宋体" w:hAnsi="宋体" w:hint="eastAsia"/>
          <w:kern w:val="0"/>
          <w:sz w:val="24"/>
          <w:szCs w:val="24"/>
        </w:rPr>
        <w:t>各专业所在学院应高度重视、认真负责，严守各专业总学分上限，切实减轻学生学业负担。各专业应修读的课内总学分要求以及各平台模块建议最低学分要求见表2、表3：</w:t>
      </w:r>
    </w:p>
    <w:p w:rsidR="00D93CFE" w:rsidRDefault="00D93CFE" w:rsidP="00D93CFE">
      <w:pPr>
        <w:widowControl/>
        <w:jc w:val="center"/>
        <w:rPr>
          <w:rFonts w:ascii="宋体" w:hAnsi="宋体" w:hint="eastAsia"/>
          <w:kern w:val="0"/>
          <w:sz w:val="24"/>
          <w:szCs w:val="24"/>
        </w:rPr>
      </w:pPr>
      <w:r>
        <w:rPr>
          <w:rFonts w:ascii="宋体" w:hAnsi="宋体" w:hint="eastAsia"/>
          <w:b/>
          <w:bCs/>
          <w:kern w:val="0"/>
        </w:rPr>
        <w:br w:type="page"/>
      </w:r>
      <w:r>
        <w:rPr>
          <w:rFonts w:ascii="宋体" w:hAnsi="宋体" w:hint="eastAsia"/>
          <w:b/>
          <w:bCs/>
          <w:kern w:val="0"/>
          <w:sz w:val="24"/>
          <w:szCs w:val="24"/>
        </w:rPr>
        <w:lastRenderedPageBreak/>
        <w:t xml:space="preserve">表2 各类专业课程框架总体要求 </w:t>
      </w:r>
    </w:p>
    <w:tbl>
      <w:tblPr>
        <w:tblW w:w="8522" w:type="dxa"/>
        <w:jc w:val="center"/>
        <w:tblLayout w:type="fixed"/>
        <w:tblCellMar>
          <w:left w:w="0" w:type="dxa"/>
          <w:right w:w="0" w:type="dxa"/>
        </w:tblCellMar>
        <w:tblLook w:val="04A0"/>
      </w:tblPr>
      <w:tblGrid>
        <w:gridCol w:w="1938"/>
        <w:gridCol w:w="2098"/>
        <w:gridCol w:w="2212"/>
        <w:gridCol w:w="2274"/>
      </w:tblGrid>
      <w:tr w:rsidR="00D93CFE" w:rsidTr="00D93CFE">
        <w:trPr>
          <w:trHeight w:val="679"/>
          <w:jc w:val="center"/>
        </w:trPr>
        <w:tc>
          <w:tcPr>
            <w:tcW w:w="1938" w:type="dxa"/>
            <w:tcBorders>
              <w:top w:val="single" w:sz="12" w:space="0" w:color="auto"/>
              <w:left w:val="nil"/>
              <w:bottom w:val="single" w:sz="4" w:space="0" w:color="auto"/>
              <w:right w:val="single" w:sz="4" w:space="0" w:color="auto"/>
            </w:tcBorders>
            <w:tcMar>
              <w:top w:w="0" w:type="dxa"/>
              <w:left w:w="108" w:type="dxa"/>
              <w:bottom w:w="0" w:type="dxa"/>
              <w:right w:w="108" w:type="dxa"/>
            </w:tcMar>
            <w:vAlign w:val="center"/>
            <w:hideMark/>
          </w:tcPr>
          <w:p w:rsidR="00D93CFE" w:rsidRDefault="00D93CFE">
            <w:pPr>
              <w:widowControl/>
              <w:ind w:left="-105" w:right="-105"/>
              <w:jc w:val="center"/>
              <w:rPr>
                <w:rFonts w:ascii="宋体" w:hAnsi="宋体"/>
                <w:kern w:val="0"/>
              </w:rPr>
            </w:pPr>
            <w:r>
              <w:rPr>
                <w:rFonts w:ascii="宋体" w:hAnsi="宋体" w:hint="eastAsia"/>
                <w:b/>
                <w:bCs/>
                <w:kern w:val="0"/>
              </w:rPr>
              <w:t>专业类别</w:t>
            </w:r>
          </w:p>
          <w:p w:rsidR="00D93CFE" w:rsidRDefault="00D93CFE">
            <w:pPr>
              <w:widowControl/>
              <w:ind w:left="-105" w:right="-105" w:firstLine="120"/>
              <w:jc w:val="center"/>
              <w:rPr>
                <w:rFonts w:ascii="宋体" w:hAnsi="宋体"/>
                <w:kern w:val="0"/>
              </w:rPr>
            </w:pPr>
            <w:r>
              <w:rPr>
                <w:rFonts w:ascii="宋体" w:hAnsi="宋体" w:hint="eastAsia"/>
                <w:b/>
                <w:bCs/>
                <w:kern w:val="0"/>
              </w:rPr>
              <w:t>总体要求</w:t>
            </w:r>
          </w:p>
        </w:tc>
        <w:tc>
          <w:tcPr>
            <w:tcW w:w="2098" w:type="dxa"/>
            <w:tcBorders>
              <w:top w:val="single" w:sz="12" w:space="0" w:color="auto"/>
              <w:left w:val="nil"/>
              <w:bottom w:val="single" w:sz="4" w:space="0" w:color="auto"/>
              <w:right w:val="single" w:sz="4" w:space="0" w:color="auto"/>
            </w:tcBorders>
            <w:tcMar>
              <w:top w:w="0" w:type="dxa"/>
              <w:left w:w="108" w:type="dxa"/>
              <w:bottom w:w="0" w:type="dxa"/>
              <w:right w:w="108" w:type="dxa"/>
            </w:tcMar>
            <w:vAlign w:val="center"/>
            <w:hideMark/>
          </w:tcPr>
          <w:p w:rsidR="00D93CFE" w:rsidRDefault="00D93CFE">
            <w:pPr>
              <w:widowControl/>
              <w:ind w:left="-105" w:right="-105"/>
              <w:jc w:val="center"/>
              <w:rPr>
                <w:rFonts w:ascii="宋体" w:hAnsi="宋体"/>
                <w:kern w:val="0"/>
              </w:rPr>
            </w:pPr>
            <w:r>
              <w:rPr>
                <w:rFonts w:ascii="宋体" w:hAnsi="宋体" w:hint="eastAsia"/>
                <w:b/>
                <w:bCs/>
                <w:kern w:val="0"/>
              </w:rPr>
              <w:t>经、管、文、法、艺术类专业</w:t>
            </w:r>
          </w:p>
        </w:tc>
        <w:tc>
          <w:tcPr>
            <w:tcW w:w="2212" w:type="dxa"/>
            <w:tcBorders>
              <w:top w:val="single" w:sz="12" w:space="0" w:color="auto"/>
              <w:left w:val="nil"/>
              <w:bottom w:val="single" w:sz="4" w:space="0" w:color="auto"/>
              <w:right w:val="single" w:sz="4" w:space="0" w:color="auto"/>
            </w:tcBorders>
            <w:tcMar>
              <w:top w:w="0" w:type="dxa"/>
              <w:left w:w="108" w:type="dxa"/>
              <w:bottom w:w="0" w:type="dxa"/>
              <w:right w:w="108" w:type="dxa"/>
            </w:tcMar>
            <w:vAlign w:val="center"/>
            <w:hideMark/>
          </w:tcPr>
          <w:p w:rsidR="00D93CFE" w:rsidRDefault="00D93CFE">
            <w:pPr>
              <w:widowControl/>
              <w:ind w:left="-105" w:right="-105"/>
              <w:jc w:val="center"/>
              <w:rPr>
                <w:rFonts w:ascii="宋体" w:hAnsi="宋体"/>
                <w:kern w:val="0"/>
              </w:rPr>
            </w:pPr>
            <w:r>
              <w:rPr>
                <w:rFonts w:ascii="宋体" w:hAnsi="宋体" w:hint="eastAsia"/>
                <w:b/>
                <w:bCs/>
                <w:kern w:val="0"/>
              </w:rPr>
              <w:t>理、工类专业</w:t>
            </w:r>
          </w:p>
        </w:tc>
        <w:tc>
          <w:tcPr>
            <w:tcW w:w="2274" w:type="dxa"/>
            <w:tcBorders>
              <w:top w:val="single" w:sz="12" w:space="0" w:color="auto"/>
              <w:left w:val="nil"/>
              <w:bottom w:val="single" w:sz="4" w:space="0" w:color="auto"/>
              <w:right w:val="nil"/>
            </w:tcBorders>
            <w:tcMar>
              <w:top w:w="0" w:type="dxa"/>
              <w:left w:w="108" w:type="dxa"/>
              <w:bottom w:w="0" w:type="dxa"/>
              <w:right w:w="108" w:type="dxa"/>
            </w:tcMar>
            <w:vAlign w:val="center"/>
            <w:hideMark/>
          </w:tcPr>
          <w:p w:rsidR="00D93CFE" w:rsidRDefault="00D93CFE">
            <w:pPr>
              <w:widowControl/>
              <w:ind w:left="-105" w:right="-105"/>
              <w:jc w:val="center"/>
              <w:rPr>
                <w:rFonts w:ascii="宋体" w:hAnsi="宋体"/>
                <w:kern w:val="0"/>
              </w:rPr>
            </w:pPr>
            <w:r>
              <w:rPr>
                <w:rFonts w:ascii="宋体" w:hAnsi="宋体" w:hint="eastAsia"/>
                <w:b/>
                <w:bCs/>
                <w:kern w:val="0"/>
              </w:rPr>
              <w:t>各级各类卓越实施专业</w:t>
            </w:r>
          </w:p>
        </w:tc>
      </w:tr>
      <w:tr w:rsidR="00D93CFE" w:rsidTr="00D93CFE">
        <w:trPr>
          <w:trHeight w:val="342"/>
          <w:jc w:val="center"/>
        </w:trPr>
        <w:tc>
          <w:tcPr>
            <w:tcW w:w="1938"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rsidR="00D93CFE" w:rsidRDefault="00D93CFE">
            <w:pPr>
              <w:widowControl/>
              <w:ind w:left="-105" w:right="-105"/>
              <w:jc w:val="center"/>
              <w:rPr>
                <w:rFonts w:ascii="宋体" w:hAnsi="宋体"/>
                <w:kern w:val="0"/>
              </w:rPr>
            </w:pPr>
            <w:r>
              <w:rPr>
                <w:rFonts w:ascii="宋体" w:hAnsi="宋体" w:hint="eastAsia"/>
                <w:kern w:val="0"/>
              </w:rPr>
              <w:t>课内总学时</w:t>
            </w:r>
          </w:p>
        </w:tc>
        <w:tc>
          <w:tcPr>
            <w:tcW w:w="2098"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rsidR="00D93CFE" w:rsidRDefault="00D93CFE">
            <w:pPr>
              <w:widowControl/>
              <w:jc w:val="center"/>
              <w:rPr>
                <w:rFonts w:ascii="宋体" w:hAnsi="宋体"/>
                <w:kern w:val="0"/>
              </w:rPr>
            </w:pPr>
            <w:r>
              <w:rPr>
                <w:rFonts w:ascii="宋体" w:hAnsi="宋体" w:hint="eastAsia"/>
                <w:kern w:val="0"/>
              </w:rPr>
              <w:t>≤2400</w:t>
            </w:r>
          </w:p>
        </w:tc>
        <w:tc>
          <w:tcPr>
            <w:tcW w:w="2212"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rsidR="00D93CFE" w:rsidRDefault="00D93CFE">
            <w:pPr>
              <w:widowControl/>
              <w:jc w:val="center"/>
              <w:rPr>
                <w:rFonts w:ascii="宋体" w:hAnsi="宋体"/>
                <w:kern w:val="0"/>
              </w:rPr>
            </w:pPr>
            <w:r>
              <w:rPr>
                <w:rFonts w:ascii="宋体" w:hAnsi="宋体" w:hint="eastAsia"/>
                <w:kern w:val="0"/>
              </w:rPr>
              <w:t>≤2500</w:t>
            </w:r>
          </w:p>
        </w:tc>
        <w:tc>
          <w:tcPr>
            <w:tcW w:w="2274" w:type="dxa"/>
            <w:vMerge w:val="restart"/>
            <w:tcBorders>
              <w:top w:val="nil"/>
              <w:left w:val="nil"/>
              <w:bottom w:val="single" w:sz="12" w:space="0" w:color="auto"/>
              <w:right w:val="nil"/>
            </w:tcBorders>
            <w:tcMar>
              <w:top w:w="0" w:type="dxa"/>
              <w:left w:w="108" w:type="dxa"/>
              <w:bottom w:w="0" w:type="dxa"/>
              <w:right w:w="108" w:type="dxa"/>
            </w:tcMar>
            <w:vAlign w:val="center"/>
            <w:hideMark/>
          </w:tcPr>
          <w:p w:rsidR="00D93CFE" w:rsidRDefault="00D93CFE">
            <w:pPr>
              <w:widowControl/>
              <w:jc w:val="left"/>
              <w:rPr>
                <w:rFonts w:ascii="宋体" w:hAnsi="宋体"/>
                <w:kern w:val="0"/>
              </w:rPr>
            </w:pPr>
            <w:r>
              <w:rPr>
                <w:rFonts w:ascii="宋体" w:hAnsi="宋体" w:hint="eastAsia"/>
                <w:kern w:val="0"/>
              </w:rPr>
              <w:t>原则上参照同学科大类普通专业要求，若确有需要，可依据人才培养模式特点，适度增加校（内）外联合培养实践学分，实施卓越工程师计划”的专业实践教学比例应不低于总学分的30%。</w:t>
            </w:r>
          </w:p>
        </w:tc>
      </w:tr>
      <w:tr w:rsidR="00D93CFE" w:rsidTr="00D93CFE">
        <w:trPr>
          <w:trHeight w:val="253"/>
          <w:jc w:val="center"/>
        </w:trPr>
        <w:tc>
          <w:tcPr>
            <w:tcW w:w="1938"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rsidR="00D93CFE" w:rsidRDefault="00D93CFE">
            <w:pPr>
              <w:widowControl/>
              <w:ind w:left="-105" w:right="-105"/>
              <w:jc w:val="center"/>
              <w:rPr>
                <w:rFonts w:ascii="宋体" w:hAnsi="宋体"/>
                <w:kern w:val="0"/>
              </w:rPr>
            </w:pPr>
            <w:r>
              <w:rPr>
                <w:rFonts w:ascii="宋体" w:hAnsi="宋体" w:hint="eastAsia"/>
                <w:kern w:val="0"/>
              </w:rPr>
              <w:t>总学分</w:t>
            </w:r>
          </w:p>
        </w:tc>
        <w:tc>
          <w:tcPr>
            <w:tcW w:w="2098"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rsidR="00D93CFE" w:rsidRDefault="00D93CFE">
            <w:pPr>
              <w:widowControl/>
              <w:jc w:val="center"/>
              <w:rPr>
                <w:rFonts w:ascii="宋体" w:hAnsi="宋体"/>
                <w:kern w:val="0"/>
              </w:rPr>
            </w:pPr>
            <w:r>
              <w:rPr>
                <w:rFonts w:ascii="宋体" w:hAnsi="宋体" w:hint="eastAsia"/>
                <w:kern w:val="0"/>
              </w:rPr>
              <w:t>≤170</w:t>
            </w:r>
          </w:p>
        </w:tc>
        <w:tc>
          <w:tcPr>
            <w:tcW w:w="2212"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rsidR="00D93CFE" w:rsidRDefault="00D93CFE">
            <w:pPr>
              <w:widowControl/>
              <w:jc w:val="center"/>
              <w:rPr>
                <w:rFonts w:ascii="宋体" w:hAnsi="宋体"/>
                <w:kern w:val="0"/>
              </w:rPr>
            </w:pPr>
            <w:r>
              <w:rPr>
                <w:rFonts w:ascii="宋体" w:hAnsi="宋体" w:hint="eastAsia"/>
                <w:kern w:val="0"/>
              </w:rPr>
              <w:t>≤175</w:t>
            </w:r>
          </w:p>
        </w:tc>
        <w:tc>
          <w:tcPr>
            <w:tcW w:w="2274" w:type="dxa"/>
            <w:vMerge/>
            <w:tcBorders>
              <w:top w:val="nil"/>
              <w:left w:val="nil"/>
              <w:bottom w:val="single" w:sz="12" w:space="0" w:color="auto"/>
              <w:right w:val="nil"/>
            </w:tcBorders>
            <w:vAlign w:val="center"/>
            <w:hideMark/>
          </w:tcPr>
          <w:p w:rsidR="00D93CFE" w:rsidRDefault="00D93CFE">
            <w:pPr>
              <w:widowControl/>
              <w:jc w:val="left"/>
              <w:rPr>
                <w:rFonts w:ascii="宋体" w:hAnsi="宋体"/>
                <w:kern w:val="0"/>
              </w:rPr>
            </w:pPr>
          </w:p>
        </w:tc>
      </w:tr>
      <w:tr w:rsidR="00D93CFE" w:rsidTr="00D93CFE">
        <w:trPr>
          <w:trHeight w:val="329"/>
          <w:jc w:val="center"/>
        </w:trPr>
        <w:tc>
          <w:tcPr>
            <w:tcW w:w="1938"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rsidR="00D93CFE" w:rsidRDefault="00D93CFE">
            <w:pPr>
              <w:widowControl/>
              <w:ind w:left="-105" w:right="-105"/>
              <w:jc w:val="center"/>
              <w:rPr>
                <w:rFonts w:ascii="宋体" w:hAnsi="宋体"/>
                <w:kern w:val="0"/>
              </w:rPr>
            </w:pPr>
            <w:r>
              <w:rPr>
                <w:rFonts w:ascii="宋体" w:hAnsi="宋体" w:hint="eastAsia"/>
                <w:kern w:val="0"/>
              </w:rPr>
              <w:t>课内总学分</w:t>
            </w:r>
          </w:p>
        </w:tc>
        <w:tc>
          <w:tcPr>
            <w:tcW w:w="2098"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rsidR="00D93CFE" w:rsidRDefault="00D93CFE">
            <w:pPr>
              <w:widowControl/>
              <w:jc w:val="center"/>
              <w:rPr>
                <w:rFonts w:ascii="宋体" w:hAnsi="宋体"/>
                <w:kern w:val="0"/>
              </w:rPr>
            </w:pPr>
            <w:r>
              <w:rPr>
                <w:rFonts w:ascii="宋体" w:hAnsi="宋体" w:hint="eastAsia"/>
                <w:kern w:val="0"/>
              </w:rPr>
              <w:t>≤125</w:t>
            </w:r>
          </w:p>
        </w:tc>
        <w:tc>
          <w:tcPr>
            <w:tcW w:w="2212"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rsidR="00D93CFE" w:rsidRDefault="00D93CFE">
            <w:pPr>
              <w:widowControl/>
              <w:jc w:val="center"/>
              <w:rPr>
                <w:rFonts w:ascii="宋体" w:hAnsi="宋体"/>
                <w:kern w:val="0"/>
              </w:rPr>
            </w:pPr>
            <w:r>
              <w:rPr>
                <w:rFonts w:ascii="宋体" w:hAnsi="宋体" w:hint="eastAsia"/>
                <w:kern w:val="0"/>
              </w:rPr>
              <w:t>≤135</w:t>
            </w:r>
          </w:p>
        </w:tc>
        <w:tc>
          <w:tcPr>
            <w:tcW w:w="2274" w:type="dxa"/>
            <w:vMerge/>
            <w:tcBorders>
              <w:top w:val="nil"/>
              <w:left w:val="nil"/>
              <w:bottom w:val="single" w:sz="12" w:space="0" w:color="auto"/>
              <w:right w:val="nil"/>
            </w:tcBorders>
            <w:vAlign w:val="center"/>
            <w:hideMark/>
          </w:tcPr>
          <w:p w:rsidR="00D93CFE" w:rsidRDefault="00D93CFE">
            <w:pPr>
              <w:widowControl/>
              <w:jc w:val="left"/>
              <w:rPr>
                <w:rFonts w:ascii="宋体" w:hAnsi="宋体"/>
                <w:kern w:val="0"/>
              </w:rPr>
            </w:pPr>
          </w:p>
        </w:tc>
      </w:tr>
      <w:tr w:rsidR="00D93CFE" w:rsidTr="00D93CFE">
        <w:trPr>
          <w:trHeight w:val="404"/>
          <w:jc w:val="center"/>
        </w:trPr>
        <w:tc>
          <w:tcPr>
            <w:tcW w:w="1938"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rsidR="00D93CFE" w:rsidRDefault="00D93CFE">
            <w:pPr>
              <w:widowControl/>
              <w:ind w:left="-105" w:right="-105"/>
              <w:jc w:val="center"/>
              <w:rPr>
                <w:rFonts w:ascii="宋体" w:hAnsi="宋体"/>
                <w:kern w:val="0"/>
              </w:rPr>
            </w:pPr>
            <w:r>
              <w:rPr>
                <w:rFonts w:ascii="宋体" w:hAnsi="宋体" w:hint="eastAsia"/>
                <w:kern w:val="0"/>
              </w:rPr>
              <w:t>选修课占理论教学学分比例</w:t>
            </w:r>
          </w:p>
        </w:tc>
        <w:tc>
          <w:tcPr>
            <w:tcW w:w="2098"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rsidR="00D93CFE" w:rsidRDefault="00D93CFE">
            <w:pPr>
              <w:widowControl/>
              <w:jc w:val="center"/>
              <w:rPr>
                <w:rFonts w:ascii="宋体" w:hAnsi="宋体"/>
                <w:kern w:val="0"/>
              </w:rPr>
            </w:pPr>
            <w:r>
              <w:rPr>
                <w:rFonts w:ascii="宋体" w:hAnsi="宋体" w:hint="eastAsia"/>
                <w:kern w:val="0"/>
              </w:rPr>
              <w:t>≥15%</w:t>
            </w:r>
          </w:p>
        </w:tc>
        <w:tc>
          <w:tcPr>
            <w:tcW w:w="2212"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rsidR="00D93CFE" w:rsidRDefault="00D93CFE">
            <w:pPr>
              <w:widowControl/>
              <w:jc w:val="center"/>
              <w:rPr>
                <w:rFonts w:ascii="宋体" w:hAnsi="宋体"/>
                <w:kern w:val="0"/>
              </w:rPr>
            </w:pPr>
            <w:r>
              <w:rPr>
                <w:rFonts w:ascii="宋体" w:hAnsi="宋体" w:hint="eastAsia"/>
                <w:kern w:val="0"/>
              </w:rPr>
              <w:t>≥15%</w:t>
            </w:r>
          </w:p>
        </w:tc>
        <w:tc>
          <w:tcPr>
            <w:tcW w:w="2274" w:type="dxa"/>
            <w:vMerge/>
            <w:tcBorders>
              <w:top w:val="nil"/>
              <w:left w:val="nil"/>
              <w:bottom w:val="single" w:sz="12" w:space="0" w:color="auto"/>
              <w:right w:val="nil"/>
            </w:tcBorders>
            <w:vAlign w:val="center"/>
            <w:hideMark/>
          </w:tcPr>
          <w:p w:rsidR="00D93CFE" w:rsidRDefault="00D93CFE">
            <w:pPr>
              <w:widowControl/>
              <w:jc w:val="left"/>
              <w:rPr>
                <w:rFonts w:ascii="宋体" w:hAnsi="宋体"/>
                <w:kern w:val="0"/>
              </w:rPr>
            </w:pPr>
          </w:p>
        </w:tc>
      </w:tr>
      <w:tr w:rsidR="00D93CFE" w:rsidTr="00D93CFE">
        <w:trPr>
          <w:trHeight w:val="564"/>
          <w:jc w:val="center"/>
        </w:trPr>
        <w:tc>
          <w:tcPr>
            <w:tcW w:w="1938" w:type="dxa"/>
            <w:tcBorders>
              <w:top w:val="single" w:sz="4" w:space="0" w:color="auto"/>
              <w:left w:val="nil"/>
              <w:bottom w:val="single" w:sz="12" w:space="0" w:color="auto"/>
              <w:right w:val="single" w:sz="4" w:space="0" w:color="auto"/>
            </w:tcBorders>
            <w:tcMar>
              <w:top w:w="0" w:type="dxa"/>
              <w:left w:w="108" w:type="dxa"/>
              <w:bottom w:w="0" w:type="dxa"/>
              <w:right w:w="108" w:type="dxa"/>
            </w:tcMar>
            <w:vAlign w:val="center"/>
            <w:hideMark/>
          </w:tcPr>
          <w:p w:rsidR="00D93CFE" w:rsidRDefault="00D93CFE">
            <w:pPr>
              <w:widowControl/>
              <w:ind w:left="-105" w:right="-105"/>
              <w:jc w:val="center"/>
              <w:rPr>
                <w:rFonts w:ascii="宋体" w:hAnsi="宋体"/>
                <w:kern w:val="0"/>
              </w:rPr>
            </w:pPr>
            <w:r>
              <w:rPr>
                <w:rFonts w:ascii="宋体" w:hAnsi="宋体" w:hint="eastAsia"/>
                <w:kern w:val="0"/>
              </w:rPr>
              <w:t>实践教学比例</w:t>
            </w:r>
          </w:p>
        </w:tc>
        <w:tc>
          <w:tcPr>
            <w:tcW w:w="2098" w:type="dxa"/>
            <w:tcBorders>
              <w:top w:val="single" w:sz="4" w:space="0" w:color="auto"/>
              <w:left w:val="nil"/>
              <w:bottom w:val="single" w:sz="12" w:space="0" w:color="auto"/>
              <w:right w:val="single" w:sz="4" w:space="0" w:color="auto"/>
            </w:tcBorders>
            <w:tcMar>
              <w:top w:w="0" w:type="dxa"/>
              <w:left w:w="108" w:type="dxa"/>
              <w:bottom w:w="0" w:type="dxa"/>
              <w:right w:w="108" w:type="dxa"/>
            </w:tcMar>
            <w:vAlign w:val="center"/>
            <w:hideMark/>
          </w:tcPr>
          <w:p w:rsidR="00D93CFE" w:rsidRDefault="00D93CFE">
            <w:pPr>
              <w:widowControl/>
              <w:jc w:val="center"/>
              <w:rPr>
                <w:rFonts w:ascii="宋体" w:hAnsi="宋体"/>
                <w:kern w:val="0"/>
              </w:rPr>
            </w:pPr>
            <w:r>
              <w:rPr>
                <w:rFonts w:ascii="宋体" w:hAnsi="宋体" w:hint="eastAsia"/>
                <w:kern w:val="0"/>
              </w:rPr>
              <w:t>≥总学分的15%</w:t>
            </w:r>
          </w:p>
        </w:tc>
        <w:tc>
          <w:tcPr>
            <w:tcW w:w="2212" w:type="dxa"/>
            <w:tcBorders>
              <w:top w:val="single" w:sz="4" w:space="0" w:color="auto"/>
              <w:left w:val="nil"/>
              <w:bottom w:val="single" w:sz="12" w:space="0" w:color="auto"/>
              <w:right w:val="single" w:sz="4" w:space="0" w:color="auto"/>
            </w:tcBorders>
            <w:tcMar>
              <w:top w:w="0" w:type="dxa"/>
              <w:left w:w="108" w:type="dxa"/>
              <w:bottom w:w="0" w:type="dxa"/>
              <w:right w:w="108" w:type="dxa"/>
            </w:tcMar>
            <w:vAlign w:val="center"/>
            <w:hideMark/>
          </w:tcPr>
          <w:p w:rsidR="00D93CFE" w:rsidRDefault="00D93CFE">
            <w:pPr>
              <w:widowControl/>
              <w:jc w:val="center"/>
              <w:rPr>
                <w:rFonts w:ascii="宋体" w:hAnsi="宋体"/>
                <w:kern w:val="0"/>
              </w:rPr>
            </w:pPr>
            <w:r>
              <w:rPr>
                <w:rFonts w:ascii="宋体" w:hAnsi="宋体" w:hint="eastAsia"/>
                <w:kern w:val="0"/>
              </w:rPr>
              <w:t>≥总学分的25%</w:t>
            </w:r>
          </w:p>
        </w:tc>
        <w:tc>
          <w:tcPr>
            <w:tcW w:w="2274" w:type="dxa"/>
            <w:vMerge/>
            <w:tcBorders>
              <w:top w:val="nil"/>
              <w:left w:val="nil"/>
              <w:bottom w:val="single" w:sz="12" w:space="0" w:color="auto"/>
              <w:right w:val="nil"/>
            </w:tcBorders>
            <w:vAlign w:val="center"/>
            <w:hideMark/>
          </w:tcPr>
          <w:p w:rsidR="00D93CFE" w:rsidRDefault="00D93CFE">
            <w:pPr>
              <w:widowControl/>
              <w:jc w:val="left"/>
              <w:rPr>
                <w:rFonts w:ascii="宋体" w:hAnsi="宋体"/>
                <w:kern w:val="0"/>
              </w:rPr>
            </w:pPr>
          </w:p>
        </w:tc>
      </w:tr>
    </w:tbl>
    <w:p w:rsidR="00D93CFE" w:rsidRDefault="00D93CFE" w:rsidP="00D93CFE">
      <w:pPr>
        <w:widowControl/>
        <w:jc w:val="left"/>
        <w:rPr>
          <w:rFonts w:ascii="宋体" w:hAnsi="宋体" w:hint="eastAsia"/>
          <w:kern w:val="0"/>
        </w:rPr>
      </w:pPr>
      <w:r>
        <w:rPr>
          <w:rFonts w:ascii="宋体" w:hAnsi="宋体" w:hint="eastAsia"/>
          <w:kern w:val="0"/>
        </w:rPr>
        <w:t xml:space="preserve"> </w:t>
      </w:r>
    </w:p>
    <w:p w:rsidR="00D93CFE" w:rsidRDefault="00D93CFE" w:rsidP="00D93CFE">
      <w:pPr>
        <w:widowControl/>
        <w:jc w:val="center"/>
        <w:rPr>
          <w:rFonts w:ascii="宋体" w:hAnsi="宋体" w:hint="eastAsia"/>
          <w:b/>
          <w:bCs/>
          <w:kern w:val="0"/>
          <w:sz w:val="24"/>
          <w:szCs w:val="24"/>
        </w:rPr>
      </w:pPr>
      <w:r>
        <w:rPr>
          <w:rFonts w:ascii="宋体" w:hAnsi="宋体" w:hint="eastAsia"/>
          <w:b/>
          <w:bCs/>
          <w:kern w:val="0"/>
          <w:sz w:val="24"/>
          <w:szCs w:val="24"/>
        </w:rPr>
        <w:t>表3 各课程平台学分数及所占比例总体要求（标准学制四年）</w:t>
      </w:r>
    </w:p>
    <w:tbl>
      <w:tblPr>
        <w:tblW w:w="8522" w:type="dxa"/>
        <w:jc w:val="center"/>
        <w:tblLayout w:type="fixed"/>
        <w:tblCellMar>
          <w:left w:w="0" w:type="dxa"/>
          <w:right w:w="0" w:type="dxa"/>
        </w:tblCellMar>
        <w:tblLook w:val="04A0"/>
      </w:tblPr>
      <w:tblGrid>
        <w:gridCol w:w="1820"/>
        <w:gridCol w:w="457"/>
        <w:gridCol w:w="1474"/>
        <w:gridCol w:w="1127"/>
        <w:gridCol w:w="1735"/>
        <w:gridCol w:w="1909"/>
      </w:tblGrid>
      <w:tr w:rsidR="00D93CFE" w:rsidTr="00D93CFE">
        <w:trPr>
          <w:cantSplit/>
          <w:trHeight w:val="302"/>
          <w:jc w:val="center"/>
        </w:trPr>
        <w:tc>
          <w:tcPr>
            <w:tcW w:w="1820" w:type="dxa"/>
            <w:tcBorders>
              <w:top w:val="single" w:sz="12" w:space="0" w:color="auto"/>
              <w:left w:val="nil"/>
              <w:bottom w:val="single" w:sz="8" w:space="0" w:color="auto"/>
              <w:right w:val="single" w:sz="8" w:space="0" w:color="auto"/>
            </w:tcBorders>
            <w:tcMar>
              <w:top w:w="0" w:type="dxa"/>
              <w:left w:w="108" w:type="dxa"/>
              <w:bottom w:w="0" w:type="dxa"/>
              <w:right w:w="108" w:type="dxa"/>
            </w:tcMar>
            <w:vAlign w:val="center"/>
            <w:hideMark/>
          </w:tcPr>
          <w:p w:rsidR="00D93CFE" w:rsidRDefault="00D93CFE">
            <w:pPr>
              <w:widowControl/>
              <w:jc w:val="center"/>
              <w:rPr>
                <w:rFonts w:ascii="宋体" w:hAnsi="宋体"/>
                <w:b/>
                <w:bCs/>
                <w:kern w:val="0"/>
              </w:rPr>
            </w:pPr>
            <w:r>
              <w:rPr>
                <w:rFonts w:ascii="宋体" w:hAnsi="宋体" w:hint="eastAsia"/>
                <w:b/>
                <w:bCs/>
                <w:kern w:val="0"/>
              </w:rPr>
              <w:t>课程平台</w:t>
            </w:r>
          </w:p>
        </w:tc>
        <w:tc>
          <w:tcPr>
            <w:tcW w:w="457" w:type="dxa"/>
            <w:tcBorders>
              <w:top w:val="single" w:sz="12" w:space="0" w:color="auto"/>
              <w:left w:val="nil"/>
              <w:bottom w:val="single" w:sz="8" w:space="0" w:color="auto"/>
              <w:right w:val="single" w:sz="8" w:space="0" w:color="auto"/>
            </w:tcBorders>
            <w:tcMar>
              <w:top w:w="0" w:type="dxa"/>
              <w:left w:w="108" w:type="dxa"/>
              <w:bottom w:w="0" w:type="dxa"/>
              <w:right w:w="108" w:type="dxa"/>
            </w:tcMar>
            <w:vAlign w:val="center"/>
            <w:hideMark/>
          </w:tcPr>
          <w:p w:rsidR="00D93CFE" w:rsidRDefault="00D93CFE">
            <w:pPr>
              <w:widowControl/>
              <w:jc w:val="center"/>
              <w:rPr>
                <w:rFonts w:ascii="宋体" w:hAnsi="宋体"/>
                <w:b/>
                <w:bCs/>
                <w:kern w:val="0"/>
              </w:rPr>
            </w:pPr>
            <w:r>
              <w:rPr>
                <w:rFonts w:ascii="宋体" w:hAnsi="宋体" w:hint="eastAsia"/>
                <w:b/>
                <w:bCs/>
                <w:kern w:val="0"/>
              </w:rPr>
              <w:t>分项</w:t>
            </w:r>
          </w:p>
        </w:tc>
        <w:tc>
          <w:tcPr>
            <w:tcW w:w="1474" w:type="dxa"/>
            <w:tcBorders>
              <w:top w:val="single" w:sz="12" w:space="0" w:color="auto"/>
              <w:left w:val="nil"/>
              <w:bottom w:val="single" w:sz="8" w:space="0" w:color="auto"/>
              <w:right w:val="single" w:sz="8" w:space="0" w:color="auto"/>
            </w:tcBorders>
            <w:tcMar>
              <w:top w:w="0" w:type="dxa"/>
              <w:left w:w="108" w:type="dxa"/>
              <w:bottom w:w="0" w:type="dxa"/>
              <w:right w:w="108" w:type="dxa"/>
            </w:tcMar>
            <w:vAlign w:val="center"/>
            <w:hideMark/>
          </w:tcPr>
          <w:p w:rsidR="00D93CFE" w:rsidRDefault="00D93CFE">
            <w:pPr>
              <w:widowControl/>
              <w:jc w:val="center"/>
              <w:rPr>
                <w:rFonts w:ascii="宋体" w:hAnsi="宋体"/>
                <w:b/>
                <w:bCs/>
                <w:kern w:val="0"/>
              </w:rPr>
            </w:pPr>
            <w:r>
              <w:rPr>
                <w:rFonts w:ascii="宋体" w:hAnsi="宋体" w:hint="eastAsia"/>
                <w:b/>
                <w:bCs/>
                <w:kern w:val="0"/>
              </w:rPr>
              <w:t>课程性质</w:t>
            </w:r>
          </w:p>
        </w:tc>
        <w:tc>
          <w:tcPr>
            <w:tcW w:w="1127" w:type="dxa"/>
            <w:tcBorders>
              <w:top w:val="single" w:sz="12" w:space="0" w:color="auto"/>
              <w:left w:val="nil"/>
              <w:bottom w:val="single" w:sz="8" w:space="0" w:color="auto"/>
              <w:right w:val="single" w:sz="8" w:space="0" w:color="auto"/>
            </w:tcBorders>
            <w:tcMar>
              <w:top w:w="0" w:type="dxa"/>
              <w:left w:w="108" w:type="dxa"/>
              <w:bottom w:w="0" w:type="dxa"/>
              <w:right w:w="108" w:type="dxa"/>
            </w:tcMar>
            <w:vAlign w:val="center"/>
            <w:hideMark/>
          </w:tcPr>
          <w:p w:rsidR="00D93CFE" w:rsidRDefault="00D93CFE">
            <w:pPr>
              <w:widowControl/>
              <w:jc w:val="center"/>
              <w:rPr>
                <w:rFonts w:ascii="宋体" w:hAnsi="宋体"/>
                <w:b/>
                <w:bCs/>
                <w:kern w:val="0"/>
              </w:rPr>
            </w:pPr>
            <w:r>
              <w:rPr>
                <w:rFonts w:ascii="宋体" w:hAnsi="宋体" w:hint="eastAsia"/>
                <w:b/>
                <w:bCs/>
                <w:kern w:val="0"/>
              </w:rPr>
              <w:t>学分要求</w:t>
            </w:r>
          </w:p>
        </w:tc>
        <w:tc>
          <w:tcPr>
            <w:tcW w:w="1735" w:type="dxa"/>
            <w:tcBorders>
              <w:top w:val="single" w:sz="12" w:space="0" w:color="auto"/>
              <w:left w:val="nil"/>
              <w:bottom w:val="single" w:sz="8" w:space="0" w:color="auto"/>
              <w:right w:val="single" w:sz="8" w:space="0" w:color="auto"/>
            </w:tcBorders>
            <w:tcMar>
              <w:top w:w="0" w:type="dxa"/>
              <w:left w:w="108" w:type="dxa"/>
              <w:bottom w:w="0" w:type="dxa"/>
              <w:right w:w="108" w:type="dxa"/>
            </w:tcMar>
            <w:vAlign w:val="center"/>
            <w:hideMark/>
          </w:tcPr>
          <w:p w:rsidR="00D93CFE" w:rsidRDefault="00D93CFE">
            <w:pPr>
              <w:widowControl/>
              <w:jc w:val="center"/>
              <w:rPr>
                <w:rFonts w:ascii="宋体" w:hAnsi="宋体"/>
                <w:b/>
                <w:bCs/>
                <w:kern w:val="0"/>
              </w:rPr>
            </w:pPr>
            <w:r>
              <w:rPr>
                <w:rFonts w:ascii="宋体" w:hAnsi="宋体" w:hint="eastAsia"/>
                <w:b/>
                <w:bCs/>
                <w:kern w:val="0"/>
              </w:rPr>
              <w:t>比例</w:t>
            </w:r>
          </w:p>
        </w:tc>
        <w:tc>
          <w:tcPr>
            <w:tcW w:w="1909" w:type="dxa"/>
            <w:tcBorders>
              <w:top w:val="single" w:sz="12" w:space="0" w:color="auto"/>
              <w:left w:val="nil"/>
              <w:bottom w:val="single" w:sz="8" w:space="0" w:color="auto"/>
              <w:right w:val="nil"/>
            </w:tcBorders>
            <w:tcMar>
              <w:top w:w="0" w:type="dxa"/>
              <w:left w:w="108" w:type="dxa"/>
              <w:bottom w:w="0" w:type="dxa"/>
              <w:right w:w="108" w:type="dxa"/>
            </w:tcMar>
            <w:vAlign w:val="center"/>
            <w:hideMark/>
          </w:tcPr>
          <w:p w:rsidR="00D93CFE" w:rsidRDefault="00D93CFE">
            <w:pPr>
              <w:widowControl/>
              <w:jc w:val="center"/>
              <w:rPr>
                <w:rFonts w:ascii="宋体" w:hAnsi="宋体"/>
                <w:b/>
                <w:bCs/>
                <w:kern w:val="0"/>
              </w:rPr>
            </w:pPr>
            <w:r>
              <w:rPr>
                <w:rFonts w:ascii="宋体" w:hAnsi="宋体" w:hint="eastAsia"/>
                <w:b/>
                <w:bCs/>
                <w:kern w:val="0"/>
              </w:rPr>
              <w:t>备注</w:t>
            </w:r>
          </w:p>
        </w:tc>
      </w:tr>
      <w:tr w:rsidR="00D93CFE" w:rsidTr="00D93CFE">
        <w:trPr>
          <w:cantSplit/>
          <w:trHeight w:val="715"/>
          <w:jc w:val="center"/>
        </w:trPr>
        <w:tc>
          <w:tcPr>
            <w:tcW w:w="1820"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D93CFE" w:rsidRDefault="00D93CFE">
            <w:pPr>
              <w:widowControl/>
              <w:jc w:val="center"/>
              <w:rPr>
                <w:rFonts w:ascii="宋体" w:hAnsi="宋体"/>
                <w:kern w:val="0"/>
              </w:rPr>
            </w:pPr>
            <w:r>
              <w:rPr>
                <w:rFonts w:ascii="宋体" w:hAnsi="宋体" w:hint="eastAsia"/>
                <w:kern w:val="0"/>
              </w:rPr>
              <w:t>通识教育基础</w:t>
            </w:r>
          </w:p>
        </w:tc>
        <w:tc>
          <w:tcPr>
            <w:tcW w:w="45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D93CFE" w:rsidRDefault="00D93CFE">
            <w:pPr>
              <w:widowControl/>
              <w:jc w:val="center"/>
              <w:rPr>
                <w:rFonts w:ascii="宋体" w:hAnsi="宋体"/>
                <w:kern w:val="0"/>
              </w:rPr>
            </w:pPr>
            <w:r>
              <w:rPr>
                <w:rFonts w:ascii="宋体" w:hAnsi="宋体" w:hint="eastAsia"/>
                <w:b/>
                <w:bCs/>
                <w:kern w:val="0"/>
              </w:rPr>
              <w:t>1</w:t>
            </w:r>
          </w:p>
        </w:tc>
        <w:tc>
          <w:tcPr>
            <w:tcW w:w="147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D93CFE" w:rsidRDefault="00D93CFE">
            <w:pPr>
              <w:widowControl/>
              <w:jc w:val="center"/>
              <w:rPr>
                <w:rFonts w:ascii="宋体" w:hAnsi="宋体"/>
                <w:kern w:val="0"/>
              </w:rPr>
            </w:pPr>
            <w:r>
              <w:rPr>
                <w:rFonts w:ascii="宋体" w:hAnsi="宋体" w:hint="eastAsia"/>
                <w:kern w:val="0"/>
              </w:rPr>
              <w:t>必修</w:t>
            </w:r>
          </w:p>
        </w:tc>
        <w:tc>
          <w:tcPr>
            <w:tcW w:w="112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D93CFE" w:rsidRDefault="00D93CFE">
            <w:pPr>
              <w:widowControl/>
              <w:jc w:val="center"/>
              <w:rPr>
                <w:rFonts w:ascii="宋体" w:hAnsi="宋体"/>
                <w:kern w:val="0"/>
              </w:rPr>
            </w:pPr>
            <w:r>
              <w:rPr>
                <w:rFonts w:ascii="宋体" w:hAnsi="宋体" w:hint="eastAsia"/>
                <w:kern w:val="0"/>
              </w:rPr>
              <w:t>50左右</w:t>
            </w:r>
          </w:p>
        </w:tc>
        <w:tc>
          <w:tcPr>
            <w:tcW w:w="173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D93CFE" w:rsidRDefault="00D93CFE">
            <w:pPr>
              <w:widowControl/>
              <w:jc w:val="center"/>
              <w:rPr>
                <w:rFonts w:ascii="宋体" w:hAnsi="宋体"/>
                <w:kern w:val="0"/>
              </w:rPr>
            </w:pPr>
            <w:r>
              <w:rPr>
                <w:rFonts w:ascii="宋体" w:hAnsi="宋体" w:hint="eastAsia"/>
                <w:kern w:val="0"/>
              </w:rPr>
              <w:t>30%-25%</w:t>
            </w:r>
          </w:p>
        </w:tc>
        <w:tc>
          <w:tcPr>
            <w:tcW w:w="1909" w:type="dxa"/>
            <w:vMerge w:val="restart"/>
            <w:tcBorders>
              <w:top w:val="nil"/>
              <w:left w:val="nil"/>
              <w:bottom w:val="single" w:sz="8" w:space="0" w:color="auto"/>
              <w:right w:val="nil"/>
            </w:tcBorders>
            <w:tcMar>
              <w:top w:w="0" w:type="dxa"/>
              <w:left w:w="108" w:type="dxa"/>
              <w:bottom w:w="0" w:type="dxa"/>
              <w:right w:w="108" w:type="dxa"/>
            </w:tcMar>
            <w:vAlign w:val="center"/>
            <w:hideMark/>
          </w:tcPr>
          <w:p w:rsidR="00D93CFE" w:rsidRDefault="00D93CFE">
            <w:pPr>
              <w:widowControl/>
              <w:jc w:val="left"/>
              <w:rPr>
                <w:rFonts w:ascii="宋体" w:hAnsi="宋体"/>
                <w:kern w:val="0"/>
              </w:rPr>
            </w:pPr>
            <w:r>
              <w:rPr>
                <w:rFonts w:ascii="宋体" w:hAnsi="宋体" w:hint="eastAsia"/>
                <w:kern w:val="0"/>
              </w:rPr>
              <w:t>173-188学分为标准学制4年的最低要求；</w:t>
            </w:r>
          </w:p>
          <w:p w:rsidR="00D93CFE" w:rsidRDefault="00D93CFE">
            <w:pPr>
              <w:widowControl/>
              <w:jc w:val="left"/>
              <w:rPr>
                <w:rFonts w:ascii="宋体" w:hAnsi="宋体" w:hint="eastAsia"/>
                <w:kern w:val="0"/>
              </w:rPr>
            </w:pPr>
            <w:r>
              <w:rPr>
                <w:rFonts w:ascii="宋体" w:hAnsi="宋体" w:hint="eastAsia"/>
                <w:kern w:val="0"/>
              </w:rPr>
              <w:t>215-225学分为标准学制5年的最低要求，各课程平台学分比例可比照本表中要求执行。</w:t>
            </w:r>
          </w:p>
          <w:p w:rsidR="00D93CFE" w:rsidRDefault="00D93CFE">
            <w:pPr>
              <w:widowControl/>
              <w:jc w:val="left"/>
              <w:rPr>
                <w:rFonts w:ascii="宋体" w:hAnsi="宋体"/>
                <w:kern w:val="0"/>
              </w:rPr>
            </w:pPr>
            <w:r>
              <w:rPr>
                <w:rFonts w:ascii="宋体" w:hAnsi="宋体" w:hint="eastAsia"/>
                <w:kern w:val="0"/>
              </w:rPr>
              <w:t> </w:t>
            </w:r>
          </w:p>
        </w:tc>
      </w:tr>
      <w:tr w:rsidR="00D93CFE" w:rsidTr="00D93CFE">
        <w:trPr>
          <w:cantSplit/>
          <w:trHeight w:val="356"/>
          <w:jc w:val="center"/>
        </w:trPr>
        <w:tc>
          <w:tcPr>
            <w:tcW w:w="3751" w:type="dxa"/>
            <w:vMerge/>
            <w:tcBorders>
              <w:top w:val="nil"/>
              <w:left w:val="nil"/>
              <w:bottom w:val="single" w:sz="8" w:space="0" w:color="auto"/>
              <w:right w:val="single" w:sz="8" w:space="0" w:color="auto"/>
            </w:tcBorders>
            <w:vAlign w:val="center"/>
            <w:hideMark/>
          </w:tcPr>
          <w:p w:rsidR="00D93CFE" w:rsidRDefault="00D93CFE">
            <w:pPr>
              <w:widowControl/>
              <w:jc w:val="left"/>
              <w:rPr>
                <w:rFonts w:ascii="宋体" w:hAnsi="宋体"/>
                <w:kern w:val="0"/>
              </w:rPr>
            </w:pPr>
          </w:p>
        </w:tc>
        <w:tc>
          <w:tcPr>
            <w:tcW w:w="45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D93CFE" w:rsidRDefault="00D93CFE">
            <w:pPr>
              <w:widowControl/>
              <w:jc w:val="center"/>
              <w:rPr>
                <w:rFonts w:ascii="宋体" w:hAnsi="宋体"/>
                <w:kern w:val="0"/>
              </w:rPr>
            </w:pPr>
            <w:r>
              <w:rPr>
                <w:rFonts w:ascii="宋体" w:hAnsi="宋体" w:hint="eastAsia"/>
                <w:b/>
                <w:bCs/>
                <w:kern w:val="0"/>
              </w:rPr>
              <w:t>2</w:t>
            </w:r>
          </w:p>
        </w:tc>
        <w:tc>
          <w:tcPr>
            <w:tcW w:w="147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D93CFE" w:rsidRDefault="00D93CFE">
            <w:pPr>
              <w:widowControl/>
              <w:jc w:val="center"/>
              <w:rPr>
                <w:rFonts w:ascii="宋体" w:hAnsi="宋体"/>
                <w:kern w:val="0"/>
              </w:rPr>
            </w:pPr>
            <w:r>
              <w:rPr>
                <w:rFonts w:ascii="宋体" w:hAnsi="宋体" w:hint="eastAsia"/>
                <w:kern w:val="0"/>
              </w:rPr>
              <w:t>选修</w:t>
            </w:r>
          </w:p>
        </w:tc>
        <w:tc>
          <w:tcPr>
            <w:tcW w:w="112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D93CFE" w:rsidRDefault="00D93CFE">
            <w:pPr>
              <w:widowControl/>
              <w:jc w:val="center"/>
              <w:rPr>
                <w:rFonts w:ascii="宋体" w:hAnsi="宋体"/>
                <w:kern w:val="0"/>
              </w:rPr>
            </w:pPr>
            <w:r>
              <w:rPr>
                <w:rFonts w:ascii="宋体" w:hAnsi="宋体" w:hint="eastAsia"/>
                <w:kern w:val="0"/>
              </w:rPr>
              <w:t>8</w:t>
            </w:r>
          </w:p>
        </w:tc>
        <w:tc>
          <w:tcPr>
            <w:tcW w:w="173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D93CFE" w:rsidRDefault="00D93CFE">
            <w:pPr>
              <w:widowControl/>
              <w:jc w:val="center"/>
              <w:rPr>
                <w:rFonts w:ascii="宋体" w:hAnsi="宋体"/>
                <w:kern w:val="0"/>
              </w:rPr>
            </w:pPr>
            <w:r>
              <w:rPr>
                <w:rFonts w:ascii="宋体" w:hAnsi="宋体" w:hint="eastAsia"/>
                <w:kern w:val="0"/>
              </w:rPr>
              <w:t>5%</w:t>
            </w:r>
          </w:p>
        </w:tc>
        <w:tc>
          <w:tcPr>
            <w:tcW w:w="1909" w:type="dxa"/>
            <w:vMerge/>
            <w:tcBorders>
              <w:top w:val="nil"/>
              <w:left w:val="nil"/>
              <w:bottom w:val="single" w:sz="8" w:space="0" w:color="auto"/>
              <w:right w:val="nil"/>
            </w:tcBorders>
            <w:vAlign w:val="center"/>
            <w:hideMark/>
          </w:tcPr>
          <w:p w:rsidR="00D93CFE" w:rsidRDefault="00D93CFE">
            <w:pPr>
              <w:widowControl/>
              <w:jc w:val="left"/>
              <w:rPr>
                <w:rFonts w:ascii="宋体" w:hAnsi="宋体"/>
                <w:kern w:val="0"/>
              </w:rPr>
            </w:pPr>
          </w:p>
        </w:tc>
      </w:tr>
      <w:tr w:rsidR="00D93CFE" w:rsidTr="00D93CFE">
        <w:trPr>
          <w:cantSplit/>
          <w:trHeight w:val="640"/>
          <w:jc w:val="center"/>
        </w:trPr>
        <w:tc>
          <w:tcPr>
            <w:tcW w:w="182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D93CFE" w:rsidRDefault="00D93CFE">
            <w:pPr>
              <w:widowControl/>
              <w:jc w:val="center"/>
              <w:rPr>
                <w:rFonts w:ascii="宋体" w:hAnsi="宋体"/>
                <w:kern w:val="0"/>
              </w:rPr>
            </w:pPr>
            <w:r>
              <w:rPr>
                <w:rFonts w:ascii="宋体" w:hAnsi="宋体" w:hint="eastAsia"/>
                <w:kern w:val="0"/>
              </w:rPr>
              <w:t>大类学科基础与专业基础</w:t>
            </w:r>
          </w:p>
        </w:tc>
        <w:tc>
          <w:tcPr>
            <w:tcW w:w="45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D93CFE" w:rsidRDefault="00D93CFE">
            <w:pPr>
              <w:widowControl/>
              <w:jc w:val="center"/>
              <w:rPr>
                <w:rFonts w:ascii="宋体" w:hAnsi="宋体"/>
                <w:kern w:val="0"/>
              </w:rPr>
            </w:pPr>
            <w:r>
              <w:rPr>
                <w:rFonts w:ascii="宋体" w:hAnsi="宋体" w:hint="eastAsia"/>
                <w:b/>
                <w:bCs/>
                <w:kern w:val="0"/>
              </w:rPr>
              <w:t>3</w:t>
            </w:r>
          </w:p>
        </w:tc>
        <w:tc>
          <w:tcPr>
            <w:tcW w:w="147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D93CFE" w:rsidRDefault="00D93CFE">
            <w:pPr>
              <w:widowControl/>
              <w:jc w:val="center"/>
              <w:rPr>
                <w:rFonts w:ascii="宋体" w:hAnsi="宋体"/>
                <w:kern w:val="0"/>
              </w:rPr>
            </w:pPr>
            <w:r>
              <w:rPr>
                <w:rFonts w:ascii="宋体" w:hAnsi="宋体" w:hint="eastAsia"/>
                <w:kern w:val="0"/>
              </w:rPr>
              <w:t>必修</w:t>
            </w:r>
          </w:p>
        </w:tc>
        <w:tc>
          <w:tcPr>
            <w:tcW w:w="112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D93CFE" w:rsidRDefault="00D93CFE">
            <w:pPr>
              <w:widowControl/>
              <w:jc w:val="center"/>
              <w:rPr>
                <w:rFonts w:ascii="宋体" w:hAnsi="宋体"/>
                <w:kern w:val="0"/>
              </w:rPr>
            </w:pPr>
            <w:r>
              <w:rPr>
                <w:rFonts w:ascii="宋体" w:hAnsi="宋体" w:hint="eastAsia"/>
                <w:kern w:val="0"/>
              </w:rPr>
              <w:t>35左右</w:t>
            </w:r>
          </w:p>
        </w:tc>
        <w:tc>
          <w:tcPr>
            <w:tcW w:w="173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D93CFE" w:rsidRDefault="00D93CFE">
            <w:pPr>
              <w:widowControl/>
              <w:jc w:val="center"/>
              <w:rPr>
                <w:rFonts w:ascii="宋体" w:hAnsi="宋体"/>
                <w:kern w:val="0"/>
              </w:rPr>
            </w:pPr>
            <w:r>
              <w:rPr>
                <w:rFonts w:ascii="宋体" w:hAnsi="宋体" w:hint="eastAsia"/>
                <w:kern w:val="0"/>
              </w:rPr>
              <w:t>20%-15%</w:t>
            </w:r>
          </w:p>
        </w:tc>
        <w:tc>
          <w:tcPr>
            <w:tcW w:w="1909" w:type="dxa"/>
            <w:vMerge/>
            <w:tcBorders>
              <w:top w:val="nil"/>
              <w:left w:val="nil"/>
              <w:bottom w:val="single" w:sz="8" w:space="0" w:color="auto"/>
              <w:right w:val="nil"/>
            </w:tcBorders>
            <w:vAlign w:val="center"/>
            <w:hideMark/>
          </w:tcPr>
          <w:p w:rsidR="00D93CFE" w:rsidRDefault="00D93CFE">
            <w:pPr>
              <w:widowControl/>
              <w:jc w:val="left"/>
              <w:rPr>
                <w:rFonts w:ascii="宋体" w:hAnsi="宋体"/>
                <w:kern w:val="0"/>
              </w:rPr>
            </w:pPr>
          </w:p>
        </w:tc>
      </w:tr>
      <w:tr w:rsidR="00D93CFE" w:rsidTr="00D93CFE">
        <w:trPr>
          <w:cantSplit/>
          <w:jc w:val="center"/>
        </w:trPr>
        <w:tc>
          <w:tcPr>
            <w:tcW w:w="1820"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D93CFE" w:rsidRDefault="00D93CFE">
            <w:pPr>
              <w:widowControl/>
              <w:jc w:val="center"/>
              <w:rPr>
                <w:rFonts w:ascii="宋体" w:hAnsi="宋体"/>
                <w:kern w:val="0"/>
              </w:rPr>
            </w:pPr>
            <w:r>
              <w:rPr>
                <w:rFonts w:ascii="宋体" w:hAnsi="宋体" w:hint="eastAsia"/>
                <w:kern w:val="0"/>
              </w:rPr>
              <w:t>专业与专业方向</w:t>
            </w:r>
          </w:p>
        </w:tc>
        <w:tc>
          <w:tcPr>
            <w:tcW w:w="45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D93CFE" w:rsidRDefault="00D93CFE">
            <w:pPr>
              <w:widowControl/>
              <w:jc w:val="center"/>
              <w:rPr>
                <w:rFonts w:ascii="宋体" w:hAnsi="宋体"/>
                <w:kern w:val="0"/>
              </w:rPr>
            </w:pPr>
            <w:r>
              <w:rPr>
                <w:rFonts w:ascii="宋体" w:hAnsi="宋体" w:hint="eastAsia"/>
                <w:b/>
                <w:bCs/>
                <w:kern w:val="0"/>
              </w:rPr>
              <w:t>4</w:t>
            </w:r>
          </w:p>
        </w:tc>
        <w:tc>
          <w:tcPr>
            <w:tcW w:w="147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D93CFE" w:rsidRDefault="00D93CFE">
            <w:pPr>
              <w:widowControl/>
              <w:jc w:val="center"/>
              <w:rPr>
                <w:rFonts w:ascii="宋体" w:hAnsi="宋体"/>
                <w:kern w:val="0"/>
              </w:rPr>
            </w:pPr>
            <w:r>
              <w:rPr>
                <w:rFonts w:ascii="宋体" w:hAnsi="宋体" w:hint="eastAsia"/>
                <w:kern w:val="0"/>
              </w:rPr>
              <w:t>必修</w:t>
            </w:r>
          </w:p>
        </w:tc>
        <w:tc>
          <w:tcPr>
            <w:tcW w:w="112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D93CFE" w:rsidRDefault="00D93CFE">
            <w:pPr>
              <w:widowControl/>
              <w:jc w:val="center"/>
              <w:rPr>
                <w:rFonts w:ascii="宋体" w:hAnsi="宋体"/>
                <w:kern w:val="0"/>
              </w:rPr>
            </w:pPr>
            <w:r>
              <w:rPr>
                <w:rFonts w:ascii="宋体" w:hAnsi="宋体" w:hint="eastAsia"/>
                <w:kern w:val="0"/>
              </w:rPr>
              <w:t>25-30</w:t>
            </w:r>
          </w:p>
        </w:tc>
        <w:tc>
          <w:tcPr>
            <w:tcW w:w="173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D93CFE" w:rsidRDefault="00D93CFE">
            <w:pPr>
              <w:widowControl/>
              <w:jc w:val="center"/>
              <w:rPr>
                <w:rFonts w:ascii="宋体" w:hAnsi="宋体"/>
                <w:kern w:val="0"/>
              </w:rPr>
            </w:pPr>
            <w:r>
              <w:rPr>
                <w:rFonts w:ascii="宋体" w:hAnsi="宋体" w:hint="eastAsia"/>
                <w:kern w:val="0"/>
              </w:rPr>
              <w:t>10%-15%</w:t>
            </w:r>
          </w:p>
        </w:tc>
        <w:tc>
          <w:tcPr>
            <w:tcW w:w="1909" w:type="dxa"/>
            <w:vMerge/>
            <w:tcBorders>
              <w:top w:val="nil"/>
              <w:left w:val="nil"/>
              <w:bottom w:val="single" w:sz="8" w:space="0" w:color="auto"/>
              <w:right w:val="nil"/>
            </w:tcBorders>
            <w:vAlign w:val="center"/>
            <w:hideMark/>
          </w:tcPr>
          <w:p w:rsidR="00D93CFE" w:rsidRDefault="00D93CFE">
            <w:pPr>
              <w:widowControl/>
              <w:jc w:val="left"/>
              <w:rPr>
                <w:rFonts w:ascii="宋体" w:hAnsi="宋体"/>
                <w:kern w:val="0"/>
              </w:rPr>
            </w:pPr>
          </w:p>
        </w:tc>
      </w:tr>
      <w:tr w:rsidR="00D93CFE" w:rsidTr="00D93CFE">
        <w:trPr>
          <w:cantSplit/>
          <w:trHeight w:val="345"/>
          <w:jc w:val="center"/>
        </w:trPr>
        <w:tc>
          <w:tcPr>
            <w:tcW w:w="3751" w:type="dxa"/>
            <w:vMerge/>
            <w:tcBorders>
              <w:top w:val="nil"/>
              <w:left w:val="nil"/>
              <w:bottom w:val="single" w:sz="8" w:space="0" w:color="auto"/>
              <w:right w:val="single" w:sz="8" w:space="0" w:color="auto"/>
            </w:tcBorders>
            <w:vAlign w:val="center"/>
            <w:hideMark/>
          </w:tcPr>
          <w:p w:rsidR="00D93CFE" w:rsidRDefault="00D93CFE">
            <w:pPr>
              <w:widowControl/>
              <w:jc w:val="left"/>
              <w:rPr>
                <w:rFonts w:ascii="宋体" w:hAnsi="宋体"/>
                <w:kern w:val="0"/>
              </w:rPr>
            </w:pPr>
          </w:p>
        </w:tc>
        <w:tc>
          <w:tcPr>
            <w:tcW w:w="45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D93CFE" w:rsidRDefault="00D93CFE">
            <w:pPr>
              <w:widowControl/>
              <w:jc w:val="center"/>
              <w:rPr>
                <w:rFonts w:ascii="宋体" w:hAnsi="宋体"/>
                <w:kern w:val="0"/>
              </w:rPr>
            </w:pPr>
            <w:r>
              <w:rPr>
                <w:rFonts w:ascii="宋体" w:hAnsi="宋体" w:hint="eastAsia"/>
                <w:b/>
                <w:bCs/>
                <w:kern w:val="0"/>
              </w:rPr>
              <w:t>5</w:t>
            </w:r>
          </w:p>
        </w:tc>
        <w:tc>
          <w:tcPr>
            <w:tcW w:w="147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D93CFE" w:rsidRDefault="00D93CFE">
            <w:pPr>
              <w:widowControl/>
              <w:jc w:val="center"/>
              <w:rPr>
                <w:rFonts w:ascii="宋体" w:hAnsi="宋体"/>
                <w:kern w:val="0"/>
              </w:rPr>
            </w:pPr>
            <w:r>
              <w:rPr>
                <w:rFonts w:ascii="宋体" w:hAnsi="宋体" w:hint="eastAsia"/>
                <w:kern w:val="0"/>
              </w:rPr>
              <w:t>选修</w:t>
            </w:r>
          </w:p>
        </w:tc>
        <w:tc>
          <w:tcPr>
            <w:tcW w:w="112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D93CFE" w:rsidRDefault="00D93CFE">
            <w:pPr>
              <w:widowControl/>
              <w:jc w:val="center"/>
              <w:rPr>
                <w:rFonts w:ascii="宋体" w:hAnsi="宋体"/>
                <w:kern w:val="0"/>
              </w:rPr>
            </w:pPr>
            <w:r>
              <w:rPr>
                <w:rFonts w:ascii="宋体" w:hAnsi="宋体" w:hint="eastAsia"/>
                <w:kern w:val="0"/>
              </w:rPr>
              <w:t>15左右</w:t>
            </w:r>
          </w:p>
        </w:tc>
        <w:tc>
          <w:tcPr>
            <w:tcW w:w="173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D93CFE" w:rsidRDefault="00D93CFE">
            <w:pPr>
              <w:widowControl/>
              <w:jc w:val="center"/>
              <w:rPr>
                <w:rFonts w:ascii="宋体" w:hAnsi="宋体"/>
                <w:kern w:val="0"/>
              </w:rPr>
            </w:pPr>
            <w:r>
              <w:rPr>
                <w:rFonts w:ascii="宋体" w:hAnsi="宋体" w:hint="eastAsia"/>
                <w:kern w:val="0"/>
              </w:rPr>
              <w:t>5%-10%</w:t>
            </w:r>
          </w:p>
        </w:tc>
        <w:tc>
          <w:tcPr>
            <w:tcW w:w="1909" w:type="dxa"/>
            <w:vMerge/>
            <w:tcBorders>
              <w:top w:val="nil"/>
              <w:left w:val="nil"/>
              <w:bottom w:val="single" w:sz="8" w:space="0" w:color="auto"/>
              <w:right w:val="nil"/>
            </w:tcBorders>
            <w:vAlign w:val="center"/>
            <w:hideMark/>
          </w:tcPr>
          <w:p w:rsidR="00D93CFE" w:rsidRDefault="00D93CFE">
            <w:pPr>
              <w:widowControl/>
              <w:jc w:val="left"/>
              <w:rPr>
                <w:rFonts w:ascii="宋体" w:hAnsi="宋体"/>
                <w:kern w:val="0"/>
              </w:rPr>
            </w:pPr>
          </w:p>
        </w:tc>
      </w:tr>
      <w:tr w:rsidR="00D93CFE" w:rsidTr="00D93CFE">
        <w:trPr>
          <w:cantSplit/>
          <w:trHeight w:val="619"/>
          <w:jc w:val="center"/>
        </w:trPr>
        <w:tc>
          <w:tcPr>
            <w:tcW w:w="182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D93CFE" w:rsidRDefault="00D93CFE">
            <w:pPr>
              <w:widowControl/>
              <w:jc w:val="center"/>
              <w:rPr>
                <w:rFonts w:ascii="宋体" w:hAnsi="宋体"/>
                <w:kern w:val="0"/>
              </w:rPr>
            </w:pPr>
            <w:r>
              <w:rPr>
                <w:rFonts w:ascii="宋体" w:hAnsi="宋体" w:hint="eastAsia"/>
                <w:kern w:val="0"/>
              </w:rPr>
              <w:t>实践教学</w:t>
            </w:r>
          </w:p>
        </w:tc>
        <w:tc>
          <w:tcPr>
            <w:tcW w:w="45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D93CFE" w:rsidRDefault="00D93CFE">
            <w:pPr>
              <w:widowControl/>
              <w:jc w:val="center"/>
              <w:rPr>
                <w:rFonts w:ascii="宋体" w:hAnsi="宋体"/>
                <w:kern w:val="0"/>
              </w:rPr>
            </w:pPr>
            <w:r>
              <w:rPr>
                <w:rFonts w:ascii="宋体" w:hAnsi="宋体" w:hint="eastAsia"/>
                <w:b/>
                <w:bCs/>
                <w:kern w:val="0"/>
              </w:rPr>
              <w:t>6</w:t>
            </w:r>
          </w:p>
        </w:tc>
        <w:tc>
          <w:tcPr>
            <w:tcW w:w="147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D93CFE" w:rsidRDefault="00D93CFE">
            <w:pPr>
              <w:widowControl/>
              <w:jc w:val="center"/>
              <w:rPr>
                <w:rFonts w:ascii="宋体" w:hAnsi="宋体"/>
                <w:kern w:val="0"/>
              </w:rPr>
            </w:pPr>
            <w:r>
              <w:rPr>
                <w:rFonts w:ascii="宋体" w:hAnsi="宋体" w:hint="eastAsia"/>
                <w:kern w:val="0"/>
              </w:rPr>
              <w:t>必修</w:t>
            </w:r>
          </w:p>
        </w:tc>
        <w:tc>
          <w:tcPr>
            <w:tcW w:w="112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D93CFE" w:rsidRDefault="00D93CFE">
            <w:pPr>
              <w:widowControl/>
              <w:jc w:val="center"/>
              <w:rPr>
                <w:rFonts w:ascii="宋体" w:hAnsi="宋体"/>
                <w:kern w:val="0"/>
              </w:rPr>
            </w:pPr>
            <w:r>
              <w:rPr>
                <w:rFonts w:ascii="宋体" w:hAnsi="宋体" w:hint="eastAsia"/>
                <w:kern w:val="0"/>
              </w:rPr>
              <w:t>30-40</w:t>
            </w:r>
          </w:p>
        </w:tc>
        <w:tc>
          <w:tcPr>
            <w:tcW w:w="173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D93CFE" w:rsidRDefault="00D93CFE">
            <w:pPr>
              <w:widowControl/>
              <w:jc w:val="center"/>
              <w:rPr>
                <w:rFonts w:ascii="宋体" w:hAnsi="宋体"/>
                <w:kern w:val="0"/>
              </w:rPr>
            </w:pPr>
            <w:r>
              <w:rPr>
                <w:rFonts w:ascii="宋体" w:hAnsi="宋体" w:hint="eastAsia"/>
                <w:kern w:val="0"/>
              </w:rPr>
              <w:t>≥15%</w:t>
            </w:r>
          </w:p>
          <w:p w:rsidR="00D93CFE" w:rsidRDefault="00D93CFE">
            <w:pPr>
              <w:widowControl/>
              <w:ind w:firstLine="120"/>
              <w:jc w:val="left"/>
              <w:rPr>
                <w:rFonts w:ascii="宋体" w:hAnsi="宋体"/>
                <w:kern w:val="0"/>
              </w:rPr>
            </w:pPr>
            <w:r>
              <w:rPr>
                <w:rFonts w:ascii="宋体" w:hAnsi="宋体" w:hint="eastAsia"/>
                <w:kern w:val="0"/>
              </w:rPr>
              <w:t>或 ≥25%</w:t>
            </w:r>
          </w:p>
        </w:tc>
        <w:tc>
          <w:tcPr>
            <w:tcW w:w="1909" w:type="dxa"/>
            <w:vMerge/>
            <w:tcBorders>
              <w:top w:val="nil"/>
              <w:left w:val="nil"/>
              <w:bottom w:val="single" w:sz="8" w:space="0" w:color="auto"/>
              <w:right w:val="nil"/>
            </w:tcBorders>
            <w:vAlign w:val="center"/>
            <w:hideMark/>
          </w:tcPr>
          <w:p w:rsidR="00D93CFE" w:rsidRDefault="00D93CFE">
            <w:pPr>
              <w:widowControl/>
              <w:jc w:val="left"/>
              <w:rPr>
                <w:rFonts w:ascii="宋体" w:hAnsi="宋体"/>
                <w:kern w:val="0"/>
              </w:rPr>
            </w:pPr>
          </w:p>
        </w:tc>
      </w:tr>
      <w:tr w:rsidR="00D93CFE" w:rsidTr="00D93CFE">
        <w:trPr>
          <w:cantSplit/>
          <w:trHeight w:val="326"/>
          <w:jc w:val="center"/>
        </w:trPr>
        <w:tc>
          <w:tcPr>
            <w:tcW w:w="1820"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D93CFE" w:rsidRDefault="00D93CFE">
            <w:pPr>
              <w:widowControl/>
              <w:jc w:val="center"/>
              <w:rPr>
                <w:rFonts w:ascii="宋体" w:hAnsi="宋体"/>
                <w:kern w:val="0"/>
              </w:rPr>
            </w:pPr>
            <w:r>
              <w:rPr>
                <w:rFonts w:ascii="宋体" w:hAnsi="宋体" w:hint="eastAsia"/>
                <w:kern w:val="0"/>
              </w:rPr>
              <w:t>素质拓展与创新</w:t>
            </w:r>
          </w:p>
        </w:tc>
        <w:tc>
          <w:tcPr>
            <w:tcW w:w="45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D93CFE" w:rsidRDefault="00D93CFE">
            <w:pPr>
              <w:widowControl/>
              <w:jc w:val="center"/>
              <w:rPr>
                <w:rFonts w:ascii="宋体" w:hAnsi="宋体"/>
                <w:kern w:val="0"/>
              </w:rPr>
            </w:pPr>
            <w:r>
              <w:rPr>
                <w:rFonts w:ascii="宋体" w:hAnsi="宋体" w:hint="eastAsia"/>
                <w:b/>
                <w:bCs/>
                <w:kern w:val="0"/>
              </w:rPr>
              <w:t>7</w:t>
            </w:r>
          </w:p>
        </w:tc>
        <w:tc>
          <w:tcPr>
            <w:tcW w:w="147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D93CFE" w:rsidRDefault="00D93CFE">
            <w:pPr>
              <w:widowControl/>
              <w:jc w:val="center"/>
              <w:rPr>
                <w:rFonts w:ascii="宋体" w:hAnsi="宋体"/>
                <w:kern w:val="0"/>
              </w:rPr>
            </w:pPr>
            <w:r>
              <w:rPr>
                <w:rFonts w:ascii="宋体" w:hAnsi="宋体" w:hint="eastAsia"/>
                <w:kern w:val="0"/>
              </w:rPr>
              <w:t>必修</w:t>
            </w:r>
          </w:p>
        </w:tc>
        <w:tc>
          <w:tcPr>
            <w:tcW w:w="112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D93CFE" w:rsidRDefault="00D93CFE">
            <w:pPr>
              <w:widowControl/>
              <w:jc w:val="center"/>
              <w:rPr>
                <w:rFonts w:ascii="宋体" w:hAnsi="宋体"/>
                <w:kern w:val="0"/>
              </w:rPr>
            </w:pPr>
            <w:r>
              <w:rPr>
                <w:rFonts w:ascii="宋体" w:hAnsi="宋体" w:hint="eastAsia"/>
                <w:kern w:val="0"/>
              </w:rPr>
              <w:t>5-10</w:t>
            </w:r>
          </w:p>
        </w:tc>
        <w:tc>
          <w:tcPr>
            <w:tcW w:w="173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D93CFE" w:rsidRDefault="00D93CFE">
            <w:pPr>
              <w:widowControl/>
              <w:jc w:val="center"/>
              <w:rPr>
                <w:rFonts w:ascii="宋体" w:hAnsi="宋体"/>
                <w:kern w:val="0"/>
              </w:rPr>
            </w:pPr>
            <w:r>
              <w:rPr>
                <w:rFonts w:ascii="宋体" w:hAnsi="宋体" w:hint="eastAsia"/>
                <w:kern w:val="0"/>
              </w:rPr>
              <w:t>3%-6%</w:t>
            </w:r>
          </w:p>
        </w:tc>
        <w:tc>
          <w:tcPr>
            <w:tcW w:w="1909" w:type="dxa"/>
            <w:vMerge/>
            <w:tcBorders>
              <w:top w:val="nil"/>
              <w:left w:val="nil"/>
              <w:bottom w:val="single" w:sz="8" w:space="0" w:color="auto"/>
              <w:right w:val="nil"/>
            </w:tcBorders>
            <w:vAlign w:val="center"/>
            <w:hideMark/>
          </w:tcPr>
          <w:p w:rsidR="00D93CFE" w:rsidRDefault="00D93CFE">
            <w:pPr>
              <w:widowControl/>
              <w:jc w:val="left"/>
              <w:rPr>
                <w:rFonts w:ascii="宋体" w:hAnsi="宋体"/>
                <w:kern w:val="0"/>
              </w:rPr>
            </w:pPr>
          </w:p>
        </w:tc>
      </w:tr>
      <w:tr w:rsidR="00D93CFE" w:rsidTr="00D93CFE">
        <w:trPr>
          <w:cantSplit/>
          <w:trHeight w:val="285"/>
          <w:jc w:val="center"/>
        </w:trPr>
        <w:tc>
          <w:tcPr>
            <w:tcW w:w="3751" w:type="dxa"/>
            <w:vMerge/>
            <w:tcBorders>
              <w:top w:val="nil"/>
              <w:left w:val="nil"/>
              <w:bottom w:val="single" w:sz="8" w:space="0" w:color="auto"/>
              <w:right w:val="single" w:sz="8" w:space="0" w:color="auto"/>
            </w:tcBorders>
            <w:vAlign w:val="center"/>
            <w:hideMark/>
          </w:tcPr>
          <w:p w:rsidR="00D93CFE" w:rsidRDefault="00D93CFE">
            <w:pPr>
              <w:widowControl/>
              <w:jc w:val="left"/>
              <w:rPr>
                <w:rFonts w:ascii="宋体" w:hAnsi="宋体"/>
                <w:kern w:val="0"/>
              </w:rPr>
            </w:pPr>
          </w:p>
        </w:tc>
        <w:tc>
          <w:tcPr>
            <w:tcW w:w="45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D93CFE" w:rsidRDefault="00D93CFE">
            <w:pPr>
              <w:widowControl/>
              <w:jc w:val="center"/>
              <w:rPr>
                <w:rFonts w:ascii="宋体" w:hAnsi="宋体"/>
                <w:kern w:val="0"/>
              </w:rPr>
            </w:pPr>
            <w:r>
              <w:rPr>
                <w:rFonts w:ascii="宋体" w:hAnsi="宋体" w:hint="eastAsia"/>
                <w:b/>
                <w:bCs/>
                <w:kern w:val="0"/>
              </w:rPr>
              <w:t>8</w:t>
            </w:r>
          </w:p>
        </w:tc>
        <w:tc>
          <w:tcPr>
            <w:tcW w:w="147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D93CFE" w:rsidRDefault="00D93CFE">
            <w:pPr>
              <w:widowControl/>
              <w:jc w:val="center"/>
              <w:rPr>
                <w:rFonts w:ascii="宋体" w:hAnsi="宋体"/>
                <w:kern w:val="0"/>
              </w:rPr>
            </w:pPr>
            <w:r>
              <w:rPr>
                <w:rFonts w:ascii="宋体" w:hAnsi="宋体" w:hint="eastAsia"/>
                <w:kern w:val="0"/>
              </w:rPr>
              <w:t>选修</w:t>
            </w:r>
          </w:p>
        </w:tc>
        <w:tc>
          <w:tcPr>
            <w:tcW w:w="1127" w:type="dxa"/>
            <w:tcBorders>
              <w:top w:val="single" w:sz="8" w:space="0" w:color="auto"/>
              <w:left w:val="nil"/>
              <w:bottom w:val="nil"/>
              <w:right w:val="single" w:sz="8" w:space="0" w:color="auto"/>
            </w:tcBorders>
            <w:tcMar>
              <w:top w:w="0" w:type="dxa"/>
              <w:left w:w="108" w:type="dxa"/>
              <w:bottom w:w="0" w:type="dxa"/>
              <w:right w:w="108" w:type="dxa"/>
            </w:tcMar>
            <w:vAlign w:val="center"/>
            <w:hideMark/>
          </w:tcPr>
          <w:p w:rsidR="00D93CFE" w:rsidRDefault="00D93CFE">
            <w:pPr>
              <w:widowControl/>
              <w:jc w:val="center"/>
              <w:rPr>
                <w:rFonts w:ascii="宋体" w:hAnsi="宋体"/>
                <w:kern w:val="0"/>
              </w:rPr>
            </w:pPr>
            <w:r>
              <w:rPr>
                <w:rFonts w:ascii="宋体" w:hAnsi="宋体" w:hint="eastAsia"/>
                <w:kern w:val="0"/>
              </w:rPr>
              <w:t>5</w:t>
            </w:r>
          </w:p>
        </w:tc>
        <w:tc>
          <w:tcPr>
            <w:tcW w:w="173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D93CFE" w:rsidRDefault="00D93CFE">
            <w:pPr>
              <w:widowControl/>
              <w:jc w:val="center"/>
              <w:rPr>
                <w:rFonts w:ascii="宋体" w:hAnsi="宋体"/>
                <w:kern w:val="0"/>
              </w:rPr>
            </w:pPr>
            <w:r>
              <w:rPr>
                <w:rFonts w:ascii="宋体" w:hAnsi="宋体" w:hint="eastAsia"/>
                <w:kern w:val="0"/>
              </w:rPr>
              <w:t>3%-5%</w:t>
            </w:r>
          </w:p>
        </w:tc>
        <w:tc>
          <w:tcPr>
            <w:tcW w:w="1909" w:type="dxa"/>
            <w:vMerge/>
            <w:tcBorders>
              <w:top w:val="nil"/>
              <w:left w:val="nil"/>
              <w:bottom w:val="single" w:sz="8" w:space="0" w:color="auto"/>
              <w:right w:val="nil"/>
            </w:tcBorders>
            <w:vAlign w:val="center"/>
            <w:hideMark/>
          </w:tcPr>
          <w:p w:rsidR="00D93CFE" w:rsidRDefault="00D93CFE">
            <w:pPr>
              <w:widowControl/>
              <w:jc w:val="left"/>
              <w:rPr>
                <w:rFonts w:ascii="宋体" w:hAnsi="宋体"/>
                <w:kern w:val="0"/>
              </w:rPr>
            </w:pPr>
          </w:p>
        </w:tc>
      </w:tr>
      <w:tr w:rsidR="00D93CFE" w:rsidTr="00D93CFE">
        <w:trPr>
          <w:cantSplit/>
          <w:trHeight w:val="285"/>
          <w:jc w:val="center"/>
        </w:trPr>
        <w:tc>
          <w:tcPr>
            <w:tcW w:w="3751" w:type="dxa"/>
            <w:gridSpan w:val="3"/>
            <w:tcBorders>
              <w:top w:val="single" w:sz="8" w:space="0" w:color="auto"/>
              <w:left w:val="nil"/>
              <w:bottom w:val="single" w:sz="12" w:space="0" w:color="auto"/>
              <w:right w:val="single" w:sz="8" w:space="0" w:color="auto"/>
            </w:tcBorders>
            <w:tcMar>
              <w:top w:w="0" w:type="dxa"/>
              <w:left w:w="108" w:type="dxa"/>
              <w:bottom w:w="0" w:type="dxa"/>
              <w:right w:w="108" w:type="dxa"/>
            </w:tcMar>
            <w:vAlign w:val="center"/>
            <w:hideMark/>
          </w:tcPr>
          <w:p w:rsidR="00D93CFE" w:rsidRDefault="00D93CFE">
            <w:pPr>
              <w:widowControl/>
              <w:jc w:val="center"/>
              <w:rPr>
                <w:rFonts w:ascii="宋体" w:hAnsi="宋体"/>
                <w:kern w:val="0"/>
              </w:rPr>
            </w:pPr>
            <w:r>
              <w:rPr>
                <w:rFonts w:ascii="宋体" w:hAnsi="宋体" w:hint="eastAsia"/>
                <w:kern w:val="0"/>
              </w:rPr>
              <w:t>合计</w:t>
            </w:r>
          </w:p>
        </w:tc>
        <w:tc>
          <w:tcPr>
            <w:tcW w:w="1127" w:type="dxa"/>
            <w:tcBorders>
              <w:top w:val="single" w:sz="8" w:space="0" w:color="auto"/>
              <w:left w:val="nil"/>
              <w:bottom w:val="single" w:sz="12" w:space="0" w:color="auto"/>
              <w:right w:val="single" w:sz="8" w:space="0" w:color="auto"/>
            </w:tcBorders>
            <w:tcMar>
              <w:top w:w="0" w:type="dxa"/>
              <w:left w:w="108" w:type="dxa"/>
              <w:bottom w:w="0" w:type="dxa"/>
              <w:right w:w="108" w:type="dxa"/>
            </w:tcMar>
            <w:vAlign w:val="center"/>
            <w:hideMark/>
          </w:tcPr>
          <w:p w:rsidR="00D93CFE" w:rsidRDefault="00D93CFE">
            <w:pPr>
              <w:widowControl/>
              <w:jc w:val="center"/>
              <w:rPr>
                <w:rFonts w:ascii="宋体" w:hAnsi="宋体"/>
                <w:kern w:val="0"/>
              </w:rPr>
            </w:pPr>
            <w:r>
              <w:rPr>
                <w:rFonts w:ascii="宋体" w:hAnsi="宋体" w:hint="eastAsia"/>
                <w:kern w:val="0"/>
              </w:rPr>
              <w:t>173-188</w:t>
            </w:r>
          </w:p>
        </w:tc>
        <w:tc>
          <w:tcPr>
            <w:tcW w:w="1735" w:type="dxa"/>
            <w:tcBorders>
              <w:top w:val="single" w:sz="8" w:space="0" w:color="auto"/>
              <w:left w:val="nil"/>
              <w:bottom w:val="single" w:sz="12" w:space="0" w:color="auto"/>
              <w:right w:val="single" w:sz="8" w:space="0" w:color="auto"/>
            </w:tcBorders>
            <w:tcMar>
              <w:top w:w="0" w:type="dxa"/>
              <w:left w:w="108" w:type="dxa"/>
              <w:bottom w:w="0" w:type="dxa"/>
              <w:right w:w="108" w:type="dxa"/>
            </w:tcMar>
            <w:vAlign w:val="center"/>
            <w:hideMark/>
          </w:tcPr>
          <w:p w:rsidR="00D93CFE" w:rsidRDefault="00D93CFE">
            <w:pPr>
              <w:widowControl/>
              <w:jc w:val="center"/>
              <w:rPr>
                <w:rFonts w:ascii="宋体" w:hAnsi="宋体"/>
                <w:kern w:val="0"/>
              </w:rPr>
            </w:pPr>
            <w:r>
              <w:rPr>
                <w:rFonts w:ascii="宋体" w:hAnsi="宋体" w:hint="eastAsia"/>
                <w:kern w:val="0"/>
              </w:rPr>
              <w:t> </w:t>
            </w:r>
          </w:p>
        </w:tc>
        <w:tc>
          <w:tcPr>
            <w:tcW w:w="1909" w:type="dxa"/>
            <w:vMerge/>
            <w:tcBorders>
              <w:top w:val="nil"/>
              <w:left w:val="nil"/>
              <w:bottom w:val="single" w:sz="8" w:space="0" w:color="auto"/>
              <w:right w:val="nil"/>
            </w:tcBorders>
            <w:vAlign w:val="center"/>
            <w:hideMark/>
          </w:tcPr>
          <w:p w:rsidR="00D93CFE" w:rsidRDefault="00D93CFE">
            <w:pPr>
              <w:widowControl/>
              <w:jc w:val="left"/>
              <w:rPr>
                <w:rFonts w:ascii="宋体" w:hAnsi="宋体"/>
                <w:kern w:val="0"/>
              </w:rPr>
            </w:pPr>
          </w:p>
        </w:tc>
      </w:tr>
    </w:tbl>
    <w:p w:rsidR="00D93CFE" w:rsidRDefault="00D93CFE" w:rsidP="00D93CFE">
      <w:pPr>
        <w:widowControl/>
        <w:jc w:val="left"/>
        <w:rPr>
          <w:rFonts w:ascii="宋体" w:hAnsi="宋体" w:hint="eastAsia"/>
          <w:kern w:val="0"/>
        </w:rPr>
      </w:pPr>
      <w:r>
        <w:rPr>
          <w:rFonts w:ascii="宋体" w:hAnsi="宋体" w:hint="eastAsia"/>
          <w:kern w:val="0"/>
        </w:rPr>
        <w:t xml:space="preserve"> </w:t>
      </w:r>
    </w:p>
    <w:p w:rsidR="00D93CFE" w:rsidRDefault="00D93CFE" w:rsidP="00D93CFE">
      <w:pPr>
        <w:widowControl/>
        <w:adjustRightInd w:val="0"/>
        <w:snapToGrid w:val="0"/>
        <w:spacing w:line="312" w:lineRule="auto"/>
        <w:ind w:firstLineChars="200" w:firstLine="482"/>
        <w:rPr>
          <w:rFonts w:ascii="宋体" w:hAnsi="宋体" w:hint="eastAsia"/>
          <w:kern w:val="0"/>
          <w:sz w:val="24"/>
          <w:szCs w:val="24"/>
        </w:rPr>
      </w:pPr>
      <w:r>
        <w:rPr>
          <w:rFonts w:ascii="宋体" w:hAnsi="宋体" w:hint="eastAsia"/>
          <w:b/>
          <w:bCs/>
          <w:kern w:val="0"/>
          <w:sz w:val="24"/>
          <w:szCs w:val="24"/>
        </w:rPr>
        <w:t>（六）专业培养标准制定</w:t>
      </w:r>
    </w:p>
    <w:p w:rsidR="00D93CFE" w:rsidRDefault="00D93CFE" w:rsidP="00D93CFE">
      <w:pPr>
        <w:widowControl/>
        <w:adjustRightInd w:val="0"/>
        <w:snapToGrid w:val="0"/>
        <w:spacing w:line="312" w:lineRule="auto"/>
        <w:ind w:firstLineChars="200" w:firstLine="480"/>
        <w:rPr>
          <w:rFonts w:ascii="宋体" w:hAnsi="宋体" w:hint="eastAsia"/>
          <w:kern w:val="0"/>
          <w:sz w:val="24"/>
          <w:szCs w:val="24"/>
        </w:rPr>
      </w:pPr>
      <w:r>
        <w:rPr>
          <w:rFonts w:ascii="宋体" w:hAnsi="宋体" w:hint="eastAsia"/>
          <w:kern w:val="0"/>
          <w:sz w:val="24"/>
          <w:szCs w:val="24"/>
        </w:rPr>
        <w:t>学校专业培养总体标准原则上设定为知识、能力与素质三大一级标准，12个二级标准，各专业应以学校总体人才培养标准为基本要求确定专业培养1级标准，前11项为基本标准，第12项各专业根据专业特点制定，也可多项。各专业还需在1、2级标准下制订3级标准。12个二级标准如下：</w:t>
      </w:r>
    </w:p>
    <w:p w:rsidR="00D93CFE" w:rsidRDefault="00D93CFE" w:rsidP="00D93CFE">
      <w:pPr>
        <w:widowControl/>
        <w:adjustRightInd w:val="0"/>
        <w:snapToGrid w:val="0"/>
        <w:spacing w:line="312" w:lineRule="auto"/>
        <w:ind w:firstLineChars="200" w:firstLine="480"/>
        <w:rPr>
          <w:rFonts w:ascii="宋体" w:hAnsi="宋体" w:hint="eastAsia"/>
          <w:kern w:val="0"/>
          <w:sz w:val="24"/>
          <w:szCs w:val="24"/>
        </w:rPr>
      </w:pPr>
      <w:r>
        <w:rPr>
          <w:rFonts w:ascii="宋体" w:hAnsi="宋体" w:hint="eastAsia"/>
          <w:kern w:val="0"/>
          <w:sz w:val="24"/>
          <w:szCs w:val="24"/>
        </w:rPr>
        <w:t>1.具有较好的人文科学素养、较强的社会责任感和良好的工程（行业）职业道德；</w:t>
      </w:r>
    </w:p>
    <w:p w:rsidR="00D93CFE" w:rsidRDefault="00D93CFE" w:rsidP="00D93CFE">
      <w:pPr>
        <w:widowControl/>
        <w:adjustRightInd w:val="0"/>
        <w:snapToGrid w:val="0"/>
        <w:spacing w:line="312" w:lineRule="auto"/>
        <w:ind w:firstLineChars="200" w:firstLine="480"/>
        <w:rPr>
          <w:rFonts w:ascii="宋体" w:hAnsi="宋体" w:hint="eastAsia"/>
          <w:kern w:val="0"/>
          <w:sz w:val="24"/>
          <w:szCs w:val="24"/>
        </w:rPr>
      </w:pPr>
      <w:r>
        <w:rPr>
          <w:rFonts w:ascii="宋体" w:hAnsi="宋体" w:hint="eastAsia"/>
          <w:kern w:val="0"/>
          <w:sz w:val="24"/>
          <w:szCs w:val="24"/>
        </w:rPr>
        <w:t>2.具有从事工程工作所需的相关数学、自然科学知识以及一定的经济管理知识；</w:t>
      </w:r>
    </w:p>
    <w:p w:rsidR="00D93CFE" w:rsidRDefault="00D93CFE" w:rsidP="00D93CFE">
      <w:pPr>
        <w:widowControl/>
        <w:adjustRightInd w:val="0"/>
        <w:snapToGrid w:val="0"/>
        <w:spacing w:line="312" w:lineRule="auto"/>
        <w:ind w:firstLineChars="200" w:firstLine="480"/>
        <w:rPr>
          <w:rFonts w:ascii="宋体" w:hAnsi="宋体" w:hint="eastAsia"/>
          <w:kern w:val="0"/>
          <w:sz w:val="24"/>
          <w:szCs w:val="24"/>
        </w:rPr>
      </w:pPr>
      <w:r>
        <w:rPr>
          <w:rFonts w:ascii="宋体" w:hAnsi="宋体" w:hint="eastAsia"/>
          <w:kern w:val="0"/>
          <w:sz w:val="24"/>
          <w:szCs w:val="24"/>
        </w:rPr>
        <w:t>3.具有良好的质量、环境、（职业健康）安全和服务意识；</w:t>
      </w:r>
    </w:p>
    <w:p w:rsidR="00D93CFE" w:rsidRDefault="00D93CFE" w:rsidP="00D93CFE">
      <w:pPr>
        <w:widowControl/>
        <w:adjustRightInd w:val="0"/>
        <w:snapToGrid w:val="0"/>
        <w:spacing w:line="312" w:lineRule="auto"/>
        <w:ind w:firstLineChars="200" w:firstLine="480"/>
        <w:rPr>
          <w:rFonts w:ascii="宋体" w:hAnsi="宋体" w:hint="eastAsia"/>
          <w:kern w:val="0"/>
          <w:sz w:val="24"/>
          <w:szCs w:val="24"/>
        </w:rPr>
      </w:pPr>
      <w:r>
        <w:rPr>
          <w:rFonts w:ascii="宋体" w:hAnsi="宋体" w:hint="eastAsia"/>
          <w:kern w:val="0"/>
          <w:sz w:val="24"/>
          <w:szCs w:val="24"/>
        </w:rPr>
        <w:lastRenderedPageBreak/>
        <w:t>4.掌握扎实的工程（行业）基础知识和本专业的基本理论知识，了解本专业的发展现状和趋势；</w:t>
      </w:r>
    </w:p>
    <w:p w:rsidR="00D93CFE" w:rsidRDefault="00D93CFE" w:rsidP="00D93CFE">
      <w:pPr>
        <w:widowControl/>
        <w:adjustRightInd w:val="0"/>
        <w:snapToGrid w:val="0"/>
        <w:spacing w:line="312" w:lineRule="auto"/>
        <w:ind w:firstLineChars="200" w:firstLine="480"/>
        <w:rPr>
          <w:rFonts w:ascii="宋体" w:hAnsi="宋体" w:hint="eastAsia"/>
          <w:kern w:val="0"/>
          <w:sz w:val="24"/>
          <w:szCs w:val="24"/>
        </w:rPr>
      </w:pPr>
      <w:r>
        <w:rPr>
          <w:rFonts w:ascii="宋体" w:hAnsi="宋体" w:hint="eastAsia"/>
          <w:kern w:val="0"/>
          <w:sz w:val="24"/>
          <w:szCs w:val="24"/>
        </w:rPr>
        <w:t>5.具有综合运用所学科学理论方法和技术手段分析并解决工程（行业）实际问题的能力，能够组织、参与生产及运作系统的设计，并具有运行和维护能力；</w:t>
      </w:r>
    </w:p>
    <w:p w:rsidR="00D93CFE" w:rsidRDefault="00D93CFE" w:rsidP="00D93CFE">
      <w:pPr>
        <w:widowControl/>
        <w:adjustRightInd w:val="0"/>
        <w:snapToGrid w:val="0"/>
        <w:spacing w:line="312" w:lineRule="auto"/>
        <w:ind w:firstLineChars="200" w:firstLine="480"/>
        <w:rPr>
          <w:rFonts w:ascii="宋体" w:hAnsi="宋体" w:hint="eastAsia"/>
          <w:kern w:val="0"/>
          <w:sz w:val="24"/>
          <w:szCs w:val="24"/>
        </w:rPr>
      </w:pPr>
      <w:r>
        <w:rPr>
          <w:rFonts w:ascii="宋体" w:hAnsi="宋体" w:hint="eastAsia"/>
          <w:kern w:val="0"/>
          <w:sz w:val="24"/>
          <w:szCs w:val="24"/>
        </w:rPr>
        <w:t>6.具有较强的创新意识和进行产品（项目）开发和设计、技术改造与创新的基本能力；</w:t>
      </w:r>
    </w:p>
    <w:p w:rsidR="00D93CFE" w:rsidRDefault="00D93CFE" w:rsidP="00D93CFE">
      <w:pPr>
        <w:widowControl/>
        <w:adjustRightInd w:val="0"/>
        <w:snapToGrid w:val="0"/>
        <w:spacing w:line="312" w:lineRule="auto"/>
        <w:ind w:firstLineChars="200" w:firstLine="480"/>
        <w:rPr>
          <w:rFonts w:ascii="宋体" w:hAnsi="宋体" w:hint="eastAsia"/>
          <w:kern w:val="0"/>
          <w:sz w:val="24"/>
          <w:szCs w:val="24"/>
        </w:rPr>
      </w:pPr>
      <w:r>
        <w:rPr>
          <w:rFonts w:ascii="宋体" w:hAnsi="宋体" w:hint="eastAsia"/>
          <w:kern w:val="0"/>
          <w:sz w:val="24"/>
          <w:szCs w:val="24"/>
        </w:rPr>
        <w:t>7.具有信息获取和终身学习的能力；</w:t>
      </w:r>
    </w:p>
    <w:p w:rsidR="00D93CFE" w:rsidRDefault="00D93CFE" w:rsidP="00D93CFE">
      <w:pPr>
        <w:widowControl/>
        <w:adjustRightInd w:val="0"/>
        <w:snapToGrid w:val="0"/>
        <w:spacing w:line="312" w:lineRule="auto"/>
        <w:ind w:firstLineChars="200" w:firstLine="480"/>
        <w:rPr>
          <w:rFonts w:ascii="宋体" w:hAnsi="宋体" w:hint="eastAsia"/>
          <w:kern w:val="0"/>
          <w:sz w:val="24"/>
          <w:szCs w:val="24"/>
        </w:rPr>
      </w:pPr>
      <w:r>
        <w:rPr>
          <w:rFonts w:ascii="宋体" w:hAnsi="宋体" w:hint="eastAsia"/>
          <w:kern w:val="0"/>
          <w:sz w:val="24"/>
          <w:szCs w:val="24"/>
        </w:rPr>
        <w:t>8.了解本专业领域技术标准，相关行业的政策、法律和法规；</w:t>
      </w:r>
    </w:p>
    <w:p w:rsidR="00D93CFE" w:rsidRDefault="00D93CFE" w:rsidP="00D93CFE">
      <w:pPr>
        <w:widowControl/>
        <w:adjustRightInd w:val="0"/>
        <w:snapToGrid w:val="0"/>
        <w:spacing w:line="312" w:lineRule="auto"/>
        <w:ind w:firstLineChars="200" w:firstLine="480"/>
        <w:rPr>
          <w:rFonts w:ascii="宋体" w:hAnsi="宋体" w:hint="eastAsia"/>
          <w:kern w:val="0"/>
          <w:sz w:val="24"/>
          <w:szCs w:val="24"/>
        </w:rPr>
      </w:pPr>
      <w:r>
        <w:rPr>
          <w:rFonts w:ascii="宋体" w:hAnsi="宋体" w:hint="eastAsia"/>
          <w:kern w:val="0"/>
          <w:sz w:val="24"/>
          <w:szCs w:val="24"/>
        </w:rPr>
        <w:t>9.具有较好的组织管理能力、较强的交流沟通、环境适应和团队合作的能力；</w:t>
      </w:r>
    </w:p>
    <w:p w:rsidR="00D93CFE" w:rsidRDefault="00D93CFE" w:rsidP="00D93CFE">
      <w:pPr>
        <w:widowControl/>
        <w:adjustRightInd w:val="0"/>
        <w:snapToGrid w:val="0"/>
        <w:spacing w:line="312" w:lineRule="auto"/>
        <w:ind w:firstLineChars="200" w:firstLine="480"/>
        <w:rPr>
          <w:rFonts w:ascii="宋体" w:hAnsi="宋体" w:hint="eastAsia"/>
          <w:kern w:val="0"/>
          <w:sz w:val="24"/>
          <w:szCs w:val="24"/>
        </w:rPr>
      </w:pPr>
      <w:r>
        <w:rPr>
          <w:rFonts w:ascii="宋体" w:hAnsi="宋体" w:hint="eastAsia"/>
          <w:kern w:val="0"/>
          <w:sz w:val="24"/>
          <w:szCs w:val="24"/>
        </w:rPr>
        <w:t>10.应对危机与突发事件的初步能力；</w:t>
      </w:r>
    </w:p>
    <w:p w:rsidR="00D93CFE" w:rsidRDefault="00D93CFE" w:rsidP="00D93CFE">
      <w:pPr>
        <w:widowControl/>
        <w:adjustRightInd w:val="0"/>
        <w:snapToGrid w:val="0"/>
        <w:spacing w:line="312" w:lineRule="auto"/>
        <w:ind w:firstLineChars="200" w:firstLine="480"/>
        <w:rPr>
          <w:rFonts w:ascii="宋体" w:hAnsi="宋体" w:hint="eastAsia"/>
          <w:kern w:val="0"/>
          <w:sz w:val="24"/>
          <w:szCs w:val="24"/>
        </w:rPr>
      </w:pPr>
      <w:r>
        <w:rPr>
          <w:rFonts w:ascii="宋体" w:hAnsi="宋体" w:hint="eastAsia"/>
          <w:kern w:val="0"/>
          <w:sz w:val="24"/>
          <w:szCs w:val="24"/>
        </w:rPr>
        <w:t>11.具有一定的国际视野和跨文化环境下的交流、竞争与合作的初步能力；</w:t>
      </w:r>
    </w:p>
    <w:p w:rsidR="00D93CFE" w:rsidRDefault="00D93CFE" w:rsidP="00D93CFE">
      <w:pPr>
        <w:widowControl/>
        <w:adjustRightInd w:val="0"/>
        <w:snapToGrid w:val="0"/>
        <w:spacing w:line="312" w:lineRule="auto"/>
        <w:ind w:firstLineChars="200" w:firstLine="480"/>
        <w:rPr>
          <w:rFonts w:ascii="宋体" w:hAnsi="宋体" w:hint="eastAsia"/>
          <w:kern w:val="0"/>
          <w:sz w:val="24"/>
          <w:szCs w:val="24"/>
        </w:rPr>
      </w:pPr>
      <w:r>
        <w:rPr>
          <w:rFonts w:ascii="宋体" w:hAnsi="宋体" w:hint="eastAsia"/>
          <w:kern w:val="0"/>
          <w:sz w:val="24"/>
          <w:szCs w:val="24"/>
        </w:rPr>
        <w:t>12.具有本专业特需的知识、能力、素质。（各专业根据实际情况制定）</w:t>
      </w:r>
    </w:p>
    <w:p w:rsidR="00D93CFE" w:rsidRDefault="00D93CFE" w:rsidP="00D93CFE">
      <w:pPr>
        <w:widowControl/>
        <w:adjustRightInd w:val="0"/>
        <w:snapToGrid w:val="0"/>
        <w:spacing w:line="312" w:lineRule="auto"/>
        <w:ind w:firstLineChars="200" w:firstLine="480"/>
        <w:rPr>
          <w:rFonts w:ascii="宋体" w:hAnsi="宋体" w:hint="eastAsia"/>
          <w:kern w:val="0"/>
          <w:sz w:val="24"/>
          <w:szCs w:val="24"/>
        </w:rPr>
      </w:pPr>
      <w:r>
        <w:rPr>
          <w:rFonts w:ascii="宋体" w:hAnsi="宋体" w:hint="eastAsia"/>
          <w:kern w:val="0"/>
          <w:sz w:val="24"/>
          <w:szCs w:val="24"/>
        </w:rPr>
        <w:t>根据各专业细化制定的3级培养标准，明确相应的知识、能力和素质培养通过哪些课程（包括理论、实验、实践等各种课程）和项目来实现。进一步细化这些课程和项目中的哪些具体环节（如讲授，学生自学，案例分析，项目研究等）来实现培养标准，形成专业人才培养目标实现矩阵。</w:t>
      </w:r>
    </w:p>
    <w:p w:rsidR="00D93CFE" w:rsidRDefault="00D93CFE" w:rsidP="00D93CFE">
      <w:pPr>
        <w:widowControl/>
        <w:adjustRightInd w:val="0"/>
        <w:snapToGrid w:val="0"/>
        <w:spacing w:line="312" w:lineRule="auto"/>
        <w:ind w:firstLineChars="200" w:firstLine="482"/>
        <w:rPr>
          <w:rFonts w:ascii="宋体" w:hAnsi="宋体" w:hint="eastAsia"/>
          <w:kern w:val="0"/>
          <w:sz w:val="24"/>
          <w:szCs w:val="24"/>
        </w:rPr>
      </w:pPr>
      <w:r>
        <w:rPr>
          <w:rFonts w:ascii="宋体" w:hAnsi="宋体" w:hint="eastAsia"/>
          <w:b/>
          <w:bCs/>
          <w:kern w:val="0"/>
          <w:sz w:val="24"/>
          <w:szCs w:val="24"/>
        </w:rPr>
        <w:t>（七）2015版专业人才培养方案文本格式与内容的有关说明</w:t>
      </w:r>
    </w:p>
    <w:p w:rsidR="00D93CFE" w:rsidRDefault="00D93CFE" w:rsidP="00D93CFE">
      <w:pPr>
        <w:widowControl/>
        <w:adjustRightInd w:val="0"/>
        <w:snapToGrid w:val="0"/>
        <w:spacing w:line="312" w:lineRule="auto"/>
        <w:ind w:firstLineChars="200" w:firstLine="480"/>
        <w:rPr>
          <w:rFonts w:ascii="宋体" w:hAnsi="宋体" w:hint="eastAsia"/>
          <w:kern w:val="0"/>
          <w:sz w:val="24"/>
          <w:szCs w:val="24"/>
        </w:rPr>
      </w:pPr>
      <w:r>
        <w:rPr>
          <w:rFonts w:ascii="宋体" w:hAnsi="宋体" w:hint="eastAsia"/>
          <w:kern w:val="0"/>
          <w:sz w:val="24"/>
          <w:szCs w:val="24"/>
        </w:rPr>
        <w:t>本科人才培养方案的标题为：“××××专业本科人才培养方案（学科门类，二级类，专业代码）”，专业名称、门类和代码必须与教育部2012年颁布的《普通高等学校本科专业目录和专业介绍》中的专业目录一致。</w:t>
      </w:r>
    </w:p>
    <w:p w:rsidR="00D93CFE" w:rsidRDefault="00D93CFE" w:rsidP="00D93CFE">
      <w:pPr>
        <w:widowControl/>
        <w:adjustRightInd w:val="0"/>
        <w:snapToGrid w:val="0"/>
        <w:spacing w:line="312" w:lineRule="auto"/>
        <w:ind w:firstLineChars="200" w:firstLine="480"/>
        <w:rPr>
          <w:rFonts w:ascii="宋体" w:hAnsi="宋体" w:hint="eastAsia"/>
          <w:kern w:val="0"/>
          <w:sz w:val="24"/>
          <w:szCs w:val="24"/>
        </w:rPr>
      </w:pPr>
      <w:r>
        <w:rPr>
          <w:rFonts w:ascii="宋体" w:hAnsi="宋体" w:hint="eastAsia"/>
          <w:kern w:val="0"/>
          <w:sz w:val="24"/>
          <w:szCs w:val="24"/>
        </w:rPr>
        <w:t>1.培养目标</w:t>
      </w:r>
    </w:p>
    <w:p w:rsidR="00D93CFE" w:rsidRDefault="00D93CFE" w:rsidP="00D93CFE">
      <w:pPr>
        <w:widowControl/>
        <w:adjustRightInd w:val="0"/>
        <w:snapToGrid w:val="0"/>
        <w:spacing w:line="312" w:lineRule="auto"/>
        <w:ind w:firstLineChars="200" w:firstLine="480"/>
        <w:rPr>
          <w:rFonts w:ascii="宋体" w:hAnsi="宋体" w:hint="eastAsia"/>
          <w:kern w:val="0"/>
          <w:sz w:val="24"/>
          <w:szCs w:val="24"/>
        </w:rPr>
      </w:pPr>
      <w:r>
        <w:rPr>
          <w:rFonts w:ascii="宋体" w:hAnsi="宋体" w:hint="eastAsia"/>
          <w:kern w:val="0"/>
          <w:sz w:val="24"/>
          <w:szCs w:val="24"/>
        </w:rPr>
        <w:t>各专业的培养目标以教育部2012年颁布的《普通高等学校本科专业目录和专业介绍》中所列的参考专业培养目标为基础。</w:t>
      </w:r>
    </w:p>
    <w:p w:rsidR="00D93CFE" w:rsidRDefault="00D93CFE" w:rsidP="00D93CFE">
      <w:pPr>
        <w:widowControl/>
        <w:adjustRightInd w:val="0"/>
        <w:snapToGrid w:val="0"/>
        <w:spacing w:line="312" w:lineRule="auto"/>
        <w:ind w:firstLineChars="200" w:firstLine="480"/>
        <w:rPr>
          <w:rFonts w:ascii="宋体" w:hAnsi="宋体" w:hint="eastAsia"/>
          <w:kern w:val="0"/>
          <w:sz w:val="24"/>
          <w:szCs w:val="24"/>
        </w:rPr>
      </w:pPr>
      <w:r>
        <w:rPr>
          <w:rFonts w:ascii="宋体" w:hAnsi="宋体" w:hint="eastAsia"/>
          <w:kern w:val="0"/>
          <w:sz w:val="24"/>
          <w:szCs w:val="24"/>
        </w:rPr>
        <w:t>培养目标符合社会经济发展需求，符合学校人才培养目标及定位，符合行业特点，体现学校和本专业人才培养特色，表述清晰、文字简练。</w:t>
      </w:r>
    </w:p>
    <w:p w:rsidR="00D93CFE" w:rsidRDefault="00D93CFE" w:rsidP="00D93CFE">
      <w:pPr>
        <w:widowControl/>
        <w:adjustRightInd w:val="0"/>
        <w:snapToGrid w:val="0"/>
        <w:spacing w:line="312" w:lineRule="auto"/>
        <w:ind w:firstLineChars="200" w:firstLine="480"/>
        <w:rPr>
          <w:rFonts w:ascii="宋体" w:hAnsi="宋体" w:hint="eastAsia"/>
          <w:kern w:val="0"/>
          <w:sz w:val="24"/>
          <w:szCs w:val="24"/>
        </w:rPr>
      </w:pPr>
      <w:r>
        <w:rPr>
          <w:rFonts w:ascii="宋体" w:hAnsi="宋体" w:hint="eastAsia"/>
          <w:kern w:val="0"/>
          <w:sz w:val="24"/>
          <w:szCs w:val="24"/>
        </w:rPr>
        <w:t>2.培养要求</w:t>
      </w:r>
    </w:p>
    <w:p w:rsidR="00D93CFE" w:rsidRDefault="00D93CFE" w:rsidP="00D93CFE">
      <w:pPr>
        <w:widowControl/>
        <w:adjustRightInd w:val="0"/>
        <w:snapToGrid w:val="0"/>
        <w:spacing w:line="312" w:lineRule="auto"/>
        <w:ind w:firstLineChars="200" w:firstLine="480"/>
        <w:rPr>
          <w:rFonts w:ascii="宋体" w:hAnsi="宋体" w:hint="eastAsia"/>
          <w:kern w:val="0"/>
          <w:sz w:val="24"/>
          <w:szCs w:val="24"/>
        </w:rPr>
      </w:pPr>
      <w:r>
        <w:rPr>
          <w:rFonts w:ascii="宋体" w:hAnsi="宋体" w:hint="eastAsia"/>
          <w:kern w:val="0"/>
          <w:sz w:val="24"/>
          <w:szCs w:val="24"/>
        </w:rPr>
        <w:t>在广泛调研的基础上，结合本专业实际，明确学生应具有的知识、能力和素质要求。</w:t>
      </w:r>
    </w:p>
    <w:p w:rsidR="00D93CFE" w:rsidRDefault="00D93CFE" w:rsidP="00D93CFE">
      <w:pPr>
        <w:widowControl/>
        <w:adjustRightInd w:val="0"/>
        <w:snapToGrid w:val="0"/>
        <w:spacing w:line="312" w:lineRule="auto"/>
        <w:ind w:firstLineChars="200" w:firstLine="480"/>
        <w:rPr>
          <w:rFonts w:ascii="宋体" w:hAnsi="宋体" w:hint="eastAsia"/>
          <w:kern w:val="0"/>
          <w:sz w:val="24"/>
          <w:szCs w:val="24"/>
        </w:rPr>
      </w:pPr>
      <w:r>
        <w:rPr>
          <w:rFonts w:ascii="宋体" w:hAnsi="宋体" w:hint="eastAsia"/>
          <w:kern w:val="0"/>
          <w:sz w:val="24"/>
          <w:szCs w:val="24"/>
        </w:rPr>
        <w:t>知识要求：人文、社会科学、自然科学基础知识，学科和专业基础知识，本专业及相邻学科知识等。</w:t>
      </w:r>
    </w:p>
    <w:p w:rsidR="00D93CFE" w:rsidRDefault="00D93CFE" w:rsidP="00D93CFE">
      <w:pPr>
        <w:widowControl/>
        <w:adjustRightInd w:val="0"/>
        <w:snapToGrid w:val="0"/>
        <w:spacing w:line="312" w:lineRule="auto"/>
        <w:ind w:firstLineChars="200" w:firstLine="480"/>
        <w:rPr>
          <w:rFonts w:ascii="宋体" w:hAnsi="宋体" w:hint="eastAsia"/>
          <w:kern w:val="0"/>
          <w:sz w:val="24"/>
          <w:szCs w:val="24"/>
        </w:rPr>
      </w:pPr>
      <w:r>
        <w:rPr>
          <w:rFonts w:ascii="宋体" w:hAnsi="宋体" w:hint="eastAsia"/>
          <w:kern w:val="0"/>
          <w:sz w:val="24"/>
          <w:szCs w:val="24"/>
        </w:rPr>
        <w:t>能力要求：本专业所需要的基本技能和专业技能，学习能力、创新能力、实践能力、交流能力和社会适应能力等。</w:t>
      </w:r>
    </w:p>
    <w:p w:rsidR="00D93CFE" w:rsidRDefault="00D93CFE" w:rsidP="00D93CFE">
      <w:pPr>
        <w:widowControl/>
        <w:adjustRightInd w:val="0"/>
        <w:snapToGrid w:val="0"/>
        <w:spacing w:line="312" w:lineRule="auto"/>
        <w:ind w:firstLineChars="200" w:firstLine="480"/>
        <w:rPr>
          <w:rFonts w:ascii="宋体" w:hAnsi="宋体" w:hint="eastAsia"/>
          <w:kern w:val="0"/>
          <w:sz w:val="24"/>
          <w:szCs w:val="24"/>
        </w:rPr>
      </w:pPr>
      <w:r>
        <w:rPr>
          <w:rFonts w:ascii="宋体" w:hAnsi="宋体" w:hint="eastAsia"/>
          <w:kern w:val="0"/>
          <w:sz w:val="24"/>
          <w:szCs w:val="24"/>
        </w:rPr>
        <w:t>素质要求：生理素质、心理素质、文化素质、行为素质等具体体现。</w:t>
      </w:r>
    </w:p>
    <w:p w:rsidR="00D93CFE" w:rsidRDefault="00D93CFE" w:rsidP="00D93CFE">
      <w:pPr>
        <w:widowControl/>
        <w:adjustRightInd w:val="0"/>
        <w:snapToGrid w:val="0"/>
        <w:spacing w:line="312" w:lineRule="auto"/>
        <w:ind w:firstLineChars="200" w:firstLine="480"/>
        <w:rPr>
          <w:rFonts w:ascii="宋体" w:hAnsi="宋体" w:hint="eastAsia"/>
          <w:kern w:val="0"/>
          <w:sz w:val="24"/>
          <w:szCs w:val="24"/>
        </w:rPr>
      </w:pPr>
      <w:r>
        <w:rPr>
          <w:rFonts w:ascii="宋体" w:hAnsi="宋体" w:hint="eastAsia"/>
          <w:kern w:val="0"/>
          <w:sz w:val="24"/>
          <w:szCs w:val="24"/>
        </w:rPr>
        <w:t>3.培养标准</w:t>
      </w:r>
    </w:p>
    <w:p w:rsidR="00D93CFE" w:rsidRDefault="00D93CFE" w:rsidP="00D93CFE">
      <w:pPr>
        <w:widowControl/>
        <w:adjustRightInd w:val="0"/>
        <w:snapToGrid w:val="0"/>
        <w:spacing w:line="312" w:lineRule="auto"/>
        <w:ind w:firstLineChars="200" w:firstLine="480"/>
        <w:rPr>
          <w:rFonts w:ascii="宋体" w:hAnsi="宋体" w:hint="eastAsia"/>
          <w:kern w:val="0"/>
          <w:sz w:val="24"/>
          <w:szCs w:val="24"/>
        </w:rPr>
      </w:pPr>
      <w:r>
        <w:rPr>
          <w:rFonts w:ascii="宋体" w:hAnsi="宋体" w:hint="eastAsia"/>
          <w:kern w:val="0"/>
          <w:sz w:val="24"/>
          <w:szCs w:val="24"/>
        </w:rPr>
        <w:lastRenderedPageBreak/>
        <w:t>毕业生已达两届及以上的专业在参照国家专业指导委员会制定的本专业规范及学校总体专业标准基础上制定，新专业可略。</w:t>
      </w:r>
    </w:p>
    <w:p w:rsidR="00D93CFE" w:rsidRDefault="00D93CFE" w:rsidP="00D93CFE">
      <w:pPr>
        <w:widowControl/>
        <w:adjustRightInd w:val="0"/>
        <w:snapToGrid w:val="0"/>
        <w:spacing w:line="312" w:lineRule="auto"/>
        <w:ind w:firstLineChars="200" w:firstLine="480"/>
        <w:rPr>
          <w:rFonts w:ascii="宋体" w:hAnsi="宋体" w:hint="eastAsia"/>
          <w:kern w:val="0"/>
          <w:sz w:val="24"/>
          <w:szCs w:val="24"/>
        </w:rPr>
      </w:pPr>
      <w:r>
        <w:rPr>
          <w:rFonts w:ascii="宋体" w:hAnsi="宋体" w:hint="eastAsia"/>
          <w:kern w:val="0"/>
          <w:sz w:val="24"/>
          <w:szCs w:val="24"/>
        </w:rPr>
        <w:t>4.主干学科</w:t>
      </w:r>
    </w:p>
    <w:p w:rsidR="00D93CFE" w:rsidRDefault="00D93CFE" w:rsidP="00D93CFE">
      <w:pPr>
        <w:widowControl/>
        <w:adjustRightInd w:val="0"/>
        <w:snapToGrid w:val="0"/>
        <w:spacing w:line="312" w:lineRule="auto"/>
        <w:ind w:firstLineChars="200" w:firstLine="480"/>
        <w:rPr>
          <w:rFonts w:ascii="宋体" w:hAnsi="宋体" w:hint="eastAsia"/>
          <w:kern w:val="0"/>
          <w:sz w:val="24"/>
          <w:szCs w:val="24"/>
        </w:rPr>
      </w:pPr>
      <w:r>
        <w:rPr>
          <w:rFonts w:ascii="宋体" w:hAnsi="宋体" w:hint="eastAsia"/>
          <w:kern w:val="0"/>
          <w:sz w:val="24"/>
          <w:szCs w:val="24"/>
        </w:rPr>
        <w:t>指支撑本专业的相关学科。各专业的主干学科以教育部2012年颁布的《普通高等学校本科专业目录和专业介绍》中各专业所列主干学科为参考，列出1-3个主要的一级学科。</w:t>
      </w:r>
    </w:p>
    <w:p w:rsidR="00D93CFE" w:rsidRDefault="00D93CFE" w:rsidP="00D93CFE">
      <w:pPr>
        <w:widowControl/>
        <w:adjustRightInd w:val="0"/>
        <w:snapToGrid w:val="0"/>
        <w:spacing w:line="312" w:lineRule="auto"/>
        <w:ind w:firstLineChars="200" w:firstLine="480"/>
        <w:rPr>
          <w:rFonts w:ascii="宋体" w:hAnsi="宋体" w:hint="eastAsia"/>
          <w:kern w:val="0"/>
          <w:sz w:val="24"/>
          <w:szCs w:val="24"/>
        </w:rPr>
      </w:pPr>
      <w:r>
        <w:rPr>
          <w:rFonts w:ascii="宋体" w:hAnsi="宋体" w:hint="eastAsia"/>
          <w:kern w:val="0"/>
          <w:sz w:val="24"/>
          <w:szCs w:val="24"/>
        </w:rPr>
        <w:t>5.核心课程</w:t>
      </w:r>
    </w:p>
    <w:p w:rsidR="00D93CFE" w:rsidRDefault="00D93CFE" w:rsidP="00D93CFE">
      <w:pPr>
        <w:widowControl/>
        <w:adjustRightInd w:val="0"/>
        <w:snapToGrid w:val="0"/>
        <w:spacing w:line="312" w:lineRule="auto"/>
        <w:ind w:firstLineChars="200" w:firstLine="480"/>
        <w:rPr>
          <w:rFonts w:ascii="宋体" w:hAnsi="宋体" w:hint="eastAsia"/>
          <w:kern w:val="0"/>
          <w:sz w:val="24"/>
          <w:szCs w:val="24"/>
        </w:rPr>
      </w:pPr>
      <w:r>
        <w:rPr>
          <w:rFonts w:ascii="宋体" w:hAnsi="宋体" w:hint="eastAsia"/>
          <w:kern w:val="0"/>
          <w:sz w:val="24"/>
          <w:szCs w:val="24"/>
        </w:rPr>
        <w:t>指反映专业基础理论与专业知识的课程。各专业的核心课程应以教育部2012年颁布的《普通高等学校本科专业目录和专业介绍》和已制定出台的专业规范中各专业所列专业核心课程为基础，同时考虑社会需求和学校的特色课程合理安排。</w:t>
      </w:r>
    </w:p>
    <w:p w:rsidR="00D93CFE" w:rsidRDefault="00D93CFE" w:rsidP="00D93CFE">
      <w:pPr>
        <w:widowControl/>
        <w:adjustRightInd w:val="0"/>
        <w:snapToGrid w:val="0"/>
        <w:spacing w:line="312" w:lineRule="auto"/>
        <w:ind w:firstLineChars="200" w:firstLine="480"/>
        <w:rPr>
          <w:rFonts w:ascii="宋体" w:hAnsi="宋体" w:hint="eastAsia"/>
          <w:kern w:val="0"/>
          <w:sz w:val="24"/>
          <w:szCs w:val="24"/>
        </w:rPr>
      </w:pPr>
      <w:r>
        <w:rPr>
          <w:rFonts w:ascii="宋体" w:hAnsi="宋体" w:hint="eastAsia"/>
          <w:kern w:val="0"/>
          <w:sz w:val="24"/>
          <w:szCs w:val="24"/>
        </w:rPr>
        <w:t>6.主要实践性教学环节</w:t>
      </w:r>
    </w:p>
    <w:p w:rsidR="00D93CFE" w:rsidRDefault="00D93CFE" w:rsidP="00D93CFE">
      <w:pPr>
        <w:widowControl/>
        <w:adjustRightInd w:val="0"/>
        <w:snapToGrid w:val="0"/>
        <w:spacing w:line="312" w:lineRule="auto"/>
        <w:ind w:firstLineChars="200" w:firstLine="480"/>
        <w:rPr>
          <w:rFonts w:ascii="宋体" w:hAnsi="宋体" w:hint="eastAsia"/>
          <w:kern w:val="0"/>
          <w:sz w:val="24"/>
          <w:szCs w:val="24"/>
        </w:rPr>
      </w:pPr>
      <w:r>
        <w:rPr>
          <w:rFonts w:ascii="宋体" w:hAnsi="宋体" w:hint="eastAsia"/>
          <w:kern w:val="0"/>
          <w:sz w:val="24"/>
          <w:szCs w:val="24"/>
        </w:rPr>
        <w:t>课程设计一般不再采用集中设计周的方式安排。在开课学期内，根据相应理论课程教学进度，提前安排本课程规定的设计任务，利用课余时间，采用分散时间段集中指导的方式，在学期结束前2-5周内完成。学分和教师工作量仍按所需集中设计周核算。</w:t>
      </w:r>
    </w:p>
    <w:p w:rsidR="00D93CFE" w:rsidRDefault="00D93CFE" w:rsidP="00D93CFE">
      <w:pPr>
        <w:widowControl/>
        <w:adjustRightInd w:val="0"/>
        <w:snapToGrid w:val="0"/>
        <w:spacing w:line="312" w:lineRule="auto"/>
        <w:ind w:firstLineChars="200" w:firstLine="480"/>
        <w:rPr>
          <w:rFonts w:ascii="宋体" w:hAnsi="宋体" w:hint="eastAsia"/>
          <w:kern w:val="0"/>
          <w:sz w:val="24"/>
          <w:szCs w:val="24"/>
        </w:rPr>
      </w:pPr>
      <w:r>
        <w:rPr>
          <w:rFonts w:ascii="宋体" w:hAnsi="宋体" w:hint="eastAsia"/>
          <w:kern w:val="0"/>
          <w:sz w:val="24"/>
          <w:szCs w:val="24"/>
        </w:rPr>
        <w:t>7.学制及学分要求</w:t>
      </w:r>
    </w:p>
    <w:p w:rsidR="00D93CFE" w:rsidRDefault="00D93CFE" w:rsidP="00D93CFE">
      <w:pPr>
        <w:widowControl/>
        <w:adjustRightInd w:val="0"/>
        <w:snapToGrid w:val="0"/>
        <w:spacing w:line="312" w:lineRule="auto"/>
        <w:ind w:firstLineChars="200" w:firstLine="480"/>
        <w:rPr>
          <w:rFonts w:ascii="宋体" w:hAnsi="宋体" w:hint="eastAsia"/>
          <w:kern w:val="0"/>
          <w:sz w:val="24"/>
          <w:szCs w:val="24"/>
        </w:rPr>
      </w:pPr>
      <w:r>
        <w:rPr>
          <w:rFonts w:ascii="宋体" w:hAnsi="宋体" w:hint="eastAsia"/>
          <w:kern w:val="0"/>
          <w:sz w:val="24"/>
          <w:szCs w:val="24"/>
        </w:rPr>
        <w:t>学制：四年（五年）；学生可在3-6（4-7）年内修完本专业规定学分。</w:t>
      </w:r>
    </w:p>
    <w:p w:rsidR="00D93CFE" w:rsidRDefault="00D93CFE" w:rsidP="00D93CFE">
      <w:pPr>
        <w:widowControl/>
        <w:adjustRightInd w:val="0"/>
        <w:snapToGrid w:val="0"/>
        <w:spacing w:line="312" w:lineRule="auto"/>
        <w:ind w:firstLineChars="200" w:firstLine="480"/>
        <w:rPr>
          <w:rFonts w:ascii="宋体" w:hAnsi="宋体" w:hint="eastAsia"/>
          <w:kern w:val="0"/>
          <w:sz w:val="24"/>
          <w:szCs w:val="24"/>
        </w:rPr>
      </w:pPr>
      <w:r>
        <w:rPr>
          <w:rFonts w:ascii="宋体" w:hAnsi="宋体" w:hint="eastAsia"/>
          <w:kern w:val="0"/>
          <w:sz w:val="24"/>
          <w:szCs w:val="24"/>
        </w:rPr>
        <w:t>学分要求：本专业学生在校期间必须修满本方案规定的XX学分方能毕业。其中：必修课程XX学分，选修课程XX学分（包含校级公共选修课程XX学分、专业方向课程XX学分），实践教学环节XX学分，素质拓展XX学分（含社会实践与课外创新活动XX学分）。</w:t>
      </w:r>
    </w:p>
    <w:p w:rsidR="00D93CFE" w:rsidRDefault="00D93CFE" w:rsidP="00D93CFE">
      <w:pPr>
        <w:widowControl/>
        <w:adjustRightInd w:val="0"/>
        <w:snapToGrid w:val="0"/>
        <w:spacing w:line="312" w:lineRule="auto"/>
        <w:ind w:firstLineChars="200" w:firstLine="480"/>
        <w:rPr>
          <w:rFonts w:ascii="宋体" w:hAnsi="宋体" w:hint="eastAsia"/>
          <w:kern w:val="0"/>
          <w:sz w:val="24"/>
          <w:szCs w:val="24"/>
        </w:rPr>
      </w:pPr>
      <w:r>
        <w:rPr>
          <w:rFonts w:ascii="宋体" w:hAnsi="宋体" w:hint="eastAsia"/>
          <w:kern w:val="0"/>
          <w:sz w:val="24"/>
          <w:szCs w:val="24"/>
        </w:rPr>
        <w:t>8.各专业均需形成专业人才培养目标实现矩阵（参见附件2）。</w:t>
      </w:r>
    </w:p>
    <w:p w:rsidR="00D93CFE" w:rsidRDefault="00D93CFE" w:rsidP="00D93CFE">
      <w:pPr>
        <w:widowControl/>
        <w:adjustRightInd w:val="0"/>
        <w:snapToGrid w:val="0"/>
        <w:spacing w:line="312" w:lineRule="auto"/>
        <w:ind w:firstLineChars="200" w:firstLine="480"/>
        <w:rPr>
          <w:rFonts w:ascii="宋体" w:hAnsi="宋体" w:hint="eastAsia"/>
          <w:kern w:val="0"/>
          <w:sz w:val="24"/>
          <w:szCs w:val="24"/>
        </w:rPr>
      </w:pPr>
      <w:r>
        <w:rPr>
          <w:rFonts w:ascii="宋体" w:hAnsi="宋体" w:hint="eastAsia"/>
          <w:kern w:val="0"/>
          <w:sz w:val="24"/>
          <w:szCs w:val="24"/>
        </w:rPr>
        <w:t>9.大学生社会实践与课外创新创业学分</w:t>
      </w:r>
    </w:p>
    <w:p w:rsidR="00D93CFE" w:rsidRDefault="00D93CFE" w:rsidP="00D93CFE">
      <w:pPr>
        <w:widowControl/>
        <w:adjustRightInd w:val="0"/>
        <w:snapToGrid w:val="0"/>
        <w:spacing w:line="312" w:lineRule="auto"/>
        <w:ind w:firstLineChars="200" w:firstLine="480"/>
        <w:rPr>
          <w:rFonts w:ascii="宋体" w:hAnsi="宋体" w:hint="eastAsia"/>
          <w:kern w:val="0"/>
          <w:sz w:val="24"/>
          <w:szCs w:val="24"/>
        </w:rPr>
      </w:pPr>
      <w:r>
        <w:rPr>
          <w:rFonts w:ascii="宋体" w:hAnsi="宋体" w:hint="eastAsia"/>
          <w:kern w:val="0"/>
          <w:sz w:val="24"/>
          <w:szCs w:val="24"/>
        </w:rPr>
        <w:t>学校为加强学生创新创业能力的培养，鼓励大学生积极参加课外实践活动。大学生社会实践与课外创新创业总学分为5学分，包括科研训练项目(指校级以上各级各类的学科竞赛、文体比赛、课题研究项目等)；创新创业教育及学生在教师指导下开展的各类创新创业实践；社会实践与社会调查；专题讲座或学术报告。项目设置及学分安排见《安徽建筑大学大学生社会实践与课外创新学分认定办法》（校字〔2014〕107号），各学院要依据上述办法负责制定具体实施细则，指导学生完成社会实践与课外创新创业学分。</w:t>
      </w:r>
    </w:p>
    <w:p w:rsidR="00D93CFE" w:rsidRDefault="00D93CFE" w:rsidP="00D93CFE">
      <w:pPr>
        <w:widowControl/>
        <w:adjustRightInd w:val="0"/>
        <w:snapToGrid w:val="0"/>
        <w:spacing w:line="312" w:lineRule="auto"/>
        <w:ind w:firstLineChars="200" w:firstLine="480"/>
        <w:rPr>
          <w:rFonts w:ascii="宋体" w:hAnsi="宋体" w:hint="eastAsia"/>
          <w:kern w:val="0"/>
          <w:sz w:val="24"/>
          <w:szCs w:val="24"/>
        </w:rPr>
      </w:pPr>
      <w:r>
        <w:rPr>
          <w:rFonts w:ascii="宋体" w:hAnsi="宋体" w:hint="eastAsia"/>
          <w:kern w:val="0"/>
          <w:sz w:val="24"/>
          <w:szCs w:val="24"/>
        </w:rPr>
        <w:t>10.其他</w:t>
      </w:r>
    </w:p>
    <w:p w:rsidR="00D93CFE" w:rsidRDefault="00D93CFE" w:rsidP="00D93CFE">
      <w:pPr>
        <w:widowControl/>
        <w:adjustRightInd w:val="0"/>
        <w:snapToGrid w:val="0"/>
        <w:spacing w:line="312" w:lineRule="auto"/>
        <w:ind w:firstLineChars="200" w:firstLine="480"/>
        <w:rPr>
          <w:rFonts w:ascii="宋体" w:hAnsi="宋体" w:hint="eastAsia"/>
          <w:kern w:val="0"/>
          <w:sz w:val="24"/>
          <w:szCs w:val="24"/>
        </w:rPr>
      </w:pPr>
      <w:r>
        <w:rPr>
          <w:rFonts w:ascii="宋体" w:hAnsi="宋体" w:hint="eastAsia"/>
          <w:kern w:val="0"/>
          <w:sz w:val="24"/>
          <w:szCs w:val="24"/>
        </w:rPr>
        <w:t>未作说明同2011版要求。文本格式见附件1。</w:t>
      </w:r>
    </w:p>
    <w:p w:rsidR="00D93CFE" w:rsidRDefault="00D93CFE" w:rsidP="00D93CFE">
      <w:pPr>
        <w:widowControl/>
        <w:adjustRightInd w:val="0"/>
        <w:snapToGrid w:val="0"/>
        <w:spacing w:line="312" w:lineRule="auto"/>
        <w:ind w:firstLineChars="200" w:firstLine="482"/>
        <w:rPr>
          <w:rFonts w:ascii="宋体" w:hAnsi="宋体" w:hint="eastAsia"/>
          <w:b/>
          <w:bCs/>
          <w:kern w:val="0"/>
          <w:sz w:val="24"/>
          <w:szCs w:val="24"/>
        </w:rPr>
      </w:pPr>
      <w:r>
        <w:rPr>
          <w:rFonts w:ascii="宋体" w:hAnsi="宋体" w:hint="eastAsia"/>
          <w:b/>
          <w:bCs/>
          <w:kern w:val="0"/>
          <w:sz w:val="24"/>
          <w:szCs w:val="24"/>
        </w:rPr>
        <w:t>（八）通识教育基础课程设置方案</w:t>
      </w:r>
    </w:p>
    <w:p w:rsidR="00D93CFE" w:rsidRDefault="00D93CFE" w:rsidP="00D93CFE">
      <w:pPr>
        <w:widowControl/>
        <w:adjustRightInd w:val="0"/>
        <w:snapToGrid w:val="0"/>
        <w:spacing w:line="312" w:lineRule="auto"/>
        <w:ind w:firstLineChars="200" w:firstLine="480"/>
        <w:rPr>
          <w:rFonts w:ascii="宋体" w:hAnsi="宋体" w:hint="eastAsia"/>
          <w:kern w:val="0"/>
          <w:sz w:val="24"/>
          <w:szCs w:val="24"/>
        </w:rPr>
      </w:pPr>
      <w:r>
        <w:rPr>
          <w:rFonts w:ascii="宋体" w:hAnsi="宋体" w:hint="eastAsia"/>
          <w:kern w:val="0"/>
          <w:sz w:val="24"/>
          <w:szCs w:val="24"/>
        </w:rPr>
        <w:lastRenderedPageBreak/>
        <w:t>通识教育基础课程中的思政类、大学外语、计算机基础类、大学体育、高等数学类、大学物理类、大学化学类、电工电子类、工程制图类、专业导论类等必修课程模块的修订方案，由各课程开设教学单位提交开设菜单草案。经学校教学工作委员会审定后，供各专业统一选用。</w:t>
      </w:r>
    </w:p>
    <w:p w:rsidR="00D93CFE" w:rsidRDefault="00D93CFE" w:rsidP="00D93CFE">
      <w:pPr>
        <w:widowControl/>
        <w:adjustRightInd w:val="0"/>
        <w:snapToGrid w:val="0"/>
        <w:spacing w:line="312" w:lineRule="auto"/>
        <w:ind w:firstLineChars="200" w:firstLine="482"/>
        <w:rPr>
          <w:rFonts w:ascii="宋体" w:hAnsi="宋体" w:hint="eastAsia"/>
          <w:b/>
          <w:bCs/>
          <w:kern w:val="0"/>
          <w:sz w:val="24"/>
          <w:szCs w:val="24"/>
        </w:rPr>
      </w:pPr>
      <w:r>
        <w:rPr>
          <w:rFonts w:ascii="宋体" w:hAnsi="宋体" w:hint="eastAsia"/>
          <w:b/>
          <w:bCs/>
          <w:kern w:val="0"/>
          <w:sz w:val="24"/>
          <w:szCs w:val="24"/>
        </w:rPr>
        <w:t>五、其他说明事项</w:t>
      </w:r>
    </w:p>
    <w:p w:rsidR="00D93CFE" w:rsidRDefault="00D93CFE" w:rsidP="00D93CFE">
      <w:pPr>
        <w:widowControl/>
        <w:adjustRightInd w:val="0"/>
        <w:snapToGrid w:val="0"/>
        <w:spacing w:line="312" w:lineRule="auto"/>
        <w:ind w:firstLineChars="200" w:firstLine="480"/>
        <w:rPr>
          <w:rFonts w:ascii="宋体" w:hAnsi="宋体" w:hint="eastAsia"/>
          <w:kern w:val="0"/>
          <w:sz w:val="24"/>
          <w:szCs w:val="24"/>
        </w:rPr>
      </w:pPr>
      <w:r>
        <w:rPr>
          <w:rFonts w:ascii="宋体" w:hAnsi="宋体" w:hint="eastAsia"/>
          <w:kern w:val="0"/>
          <w:sz w:val="24"/>
          <w:szCs w:val="24"/>
        </w:rPr>
        <w:t>1.主要专业课程的设置需依据教育部各专业指导委员会相关规定及教育部2012年颁布的《普通高等学校本科专业目录和专业介绍》中课程的要求确定。</w:t>
      </w:r>
    </w:p>
    <w:p w:rsidR="00D93CFE" w:rsidRDefault="00D93CFE" w:rsidP="00D93CFE">
      <w:pPr>
        <w:widowControl/>
        <w:adjustRightInd w:val="0"/>
        <w:snapToGrid w:val="0"/>
        <w:spacing w:line="312" w:lineRule="auto"/>
        <w:ind w:firstLineChars="200" w:firstLine="480"/>
        <w:rPr>
          <w:rFonts w:ascii="宋体" w:hAnsi="宋体" w:hint="eastAsia"/>
          <w:kern w:val="0"/>
          <w:sz w:val="24"/>
          <w:szCs w:val="24"/>
        </w:rPr>
      </w:pPr>
      <w:r>
        <w:rPr>
          <w:rFonts w:ascii="宋体" w:hAnsi="宋体" w:hint="eastAsia"/>
          <w:kern w:val="0"/>
          <w:sz w:val="24"/>
          <w:szCs w:val="24"/>
        </w:rPr>
        <w:t>2.原课程名称需增加中英文对照形式；不同层次的同名课程，在课程名称后加大写字母A、B、C等加以区别，A为高层次、多学时的课程，B次之，同名课程层次不得超过三个，相邻层次学分梯度应不小于1；不在一个学期结束的课程，在课程名称后用（1）、（2）等表示。</w:t>
      </w:r>
    </w:p>
    <w:p w:rsidR="00D93CFE" w:rsidRDefault="00D93CFE" w:rsidP="00D93CFE">
      <w:pPr>
        <w:widowControl/>
        <w:adjustRightInd w:val="0"/>
        <w:snapToGrid w:val="0"/>
        <w:spacing w:line="312" w:lineRule="auto"/>
        <w:ind w:firstLineChars="200" w:firstLine="480"/>
        <w:rPr>
          <w:rFonts w:ascii="宋体" w:hAnsi="宋体" w:hint="eastAsia"/>
          <w:kern w:val="0"/>
          <w:sz w:val="24"/>
          <w:szCs w:val="24"/>
        </w:rPr>
      </w:pPr>
      <w:r>
        <w:rPr>
          <w:rFonts w:ascii="宋体" w:hAnsi="宋体" w:hint="eastAsia"/>
          <w:kern w:val="0"/>
          <w:sz w:val="24"/>
          <w:szCs w:val="24"/>
        </w:rPr>
        <w:t>3.教学要求相同的课程要统一大纲，统一考核方式。课程大纲、课程中英文简介在人才培养方案定稿后编写。</w:t>
      </w:r>
    </w:p>
    <w:p w:rsidR="00D93CFE" w:rsidRDefault="00D93CFE" w:rsidP="00D93CFE">
      <w:pPr>
        <w:widowControl/>
        <w:adjustRightInd w:val="0"/>
        <w:snapToGrid w:val="0"/>
        <w:spacing w:line="312" w:lineRule="auto"/>
        <w:ind w:firstLineChars="200" w:firstLine="480"/>
        <w:rPr>
          <w:rFonts w:ascii="宋体" w:hAnsi="宋体" w:hint="eastAsia"/>
          <w:kern w:val="0"/>
          <w:sz w:val="24"/>
          <w:szCs w:val="24"/>
        </w:rPr>
      </w:pPr>
      <w:r>
        <w:rPr>
          <w:rFonts w:ascii="宋体" w:hAnsi="宋体" w:hint="eastAsia"/>
          <w:kern w:val="0"/>
          <w:sz w:val="24"/>
          <w:szCs w:val="24"/>
        </w:rPr>
        <w:t>4.做好与2011版方案的衔接，如课程映射、学分互认。</w:t>
      </w:r>
    </w:p>
    <w:p w:rsidR="00D93CFE" w:rsidRDefault="00D93CFE" w:rsidP="00D93CFE">
      <w:pPr>
        <w:widowControl/>
        <w:adjustRightInd w:val="0"/>
        <w:snapToGrid w:val="0"/>
        <w:spacing w:line="312" w:lineRule="auto"/>
        <w:ind w:firstLineChars="200" w:firstLine="480"/>
        <w:rPr>
          <w:rFonts w:ascii="宋体" w:hAnsi="宋体" w:hint="eastAsia"/>
          <w:kern w:val="0"/>
          <w:sz w:val="24"/>
          <w:szCs w:val="24"/>
        </w:rPr>
      </w:pPr>
      <w:r>
        <w:rPr>
          <w:rFonts w:ascii="宋体" w:hAnsi="宋体" w:hint="eastAsia"/>
          <w:kern w:val="0"/>
          <w:sz w:val="24"/>
          <w:szCs w:val="24"/>
        </w:rPr>
        <w:t>5.涉及中外合作培养模式的专业培养计划应按照合作学校的合理要求设置相关课程，重点是确保外语教学有的放矢，满足需要。</w:t>
      </w:r>
    </w:p>
    <w:p w:rsidR="00D93CFE" w:rsidRDefault="00D93CFE" w:rsidP="00D93CFE">
      <w:pPr>
        <w:widowControl/>
        <w:spacing w:line="312" w:lineRule="auto"/>
        <w:ind w:firstLine="720"/>
        <w:jc w:val="left"/>
        <w:rPr>
          <w:rFonts w:ascii="宋体" w:hAnsi="宋体" w:hint="eastAsia"/>
          <w:kern w:val="0"/>
          <w:sz w:val="24"/>
          <w:szCs w:val="24"/>
        </w:rPr>
      </w:pPr>
      <w:r>
        <w:rPr>
          <w:rFonts w:ascii="宋体" w:hAnsi="宋体" w:hint="eastAsia"/>
          <w:kern w:val="0"/>
          <w:sz w:val="24"/>
          <w:szCs w:val="24"/>
        </w:rPr>
        <w:t xml:space="preserve">  </w:t>
      </w:r>
    </w:p>
    <w:p w:rsidR="00D93CFE" w:rsidRDefault="00D93CFE" w:rsidP="00D93CFE">
      <w:pPr>
        <w:widowControl/>
        <w:spacing w:line="312" w:lineRule="auto"/>
        <w:ind w:firstLine="720"/>
        <w:jc w:val="left"/>
        <w:rPr>
          <w:rFonts w:ascii="宋体" w:hAnsi="宋体" w:hint="eastAsia"/>
          <w:kern w:val="0"/>
          <w:sz w:val="24"/>
          <w:szCs w:val="24"/>
        </w:rPr>
      </w:pPr>
      <w:r>
        <w:rPr>
          <w:rFonts w:ascii="宋体" w:hAnsi="宋体" w:hint="eastAsia"/>
          <w:kern w:val="0"/>
          <w:sz w:val="24"/>
          <w:szCs w:val="24"/>
        </w:rPr>
        <w:t>附件1 培养方案模板</w:t>
      </w:r>
    </w:p>
    <w:p w:rsidR="00D93CFE" w:rsidRDefault="00D93CFE" w:rsidP="00D93CFE">
      <w:pPr>
        <w:widowControl/>
        <w:spacing w:line="312" w:lineRule="auto"/>
        <w:ind w:firstLine="720"/>
        <w:jc w:val="left"/>
        <w:rPr>
          <w:rFonts w:ascii="宋体" w:hAnsi="宋体" w:hint="eastAsia"/>
          <w:kern w:val="0"/>
          <w:sz w:val="24"/>
          <w:szCs w:val="24"/>
        </w:rPr>
      </w:pPr>
      <w:r>
        <w:rPr>
          <w:rFonts w:ascii="宋体" w:hAnsi="宋体" w:hint="eastAsia"/>
          <w:kern w:val="0"/>
          <w:sz w:val="24"/>
          <w:szCs w:val="24"/>
        </w:rPr>
        <w:t>附件2 培养标准实现矩阵模板</w:t>
      </w:r>
    </w:p>
    <w:p w:rsidR="00D93CFE" w:rsidRDefault="00D93CFE" w:rsidP="00D93CFE">
      <w:pPr>
        <w:widowControl/>
        <w:spacing w:line="312" w:lineRule="auto"/>
        <w:ind w:firstLine="720"/>
        <w:jc w:val="right"/>
        <w:rPr>
          <w:rFonts w:ascii="宋体" w:hAnsi="宋体" w:hint="eastAsia"/>
          <w:kern w:val="0"/>
          <w:sz w:val="24"/>
          <w:szCs w:val="24"/>
        </w:rPr>
      </w:pPr>
      <w:r>
        <w:rPr>
          <w:rFonts w:ascii="宋体" w:hAnsi="宋体" w:hint="eastAsia"/>
          <w:kern w:val="0"/>
          <w:sz w:val="24"/>
          <w:szCs w:val="24"/>
        </w:rPr>
        <w:t xml:space="preserve"> </w:t>
      </w:r>
    </w:p>
    <w:p w:rsidR="00D93CFE" w:rsidRDefault="00D93CFE" w:rsidP="00D93CFE">
      <w:pPr>
        <w:widowControl/>
        <w:spacing w:line="312" w:lineRule="auto"/>
        <w:ind w:firstLine="720"/>
        <w:jc w:val="right"/>
        <w:rPr>
          <w:rFonts w:ascii="宋体" w:hAnsi="宋体" w:hint="eastAsia"/>
          <w:kern w:val="0"/>
          <w:sz w:val="24"/>
          <w:szCs w:val="24"/>
        </w:rPr>
      </w:pPr>
      <w:r>
        <w:rPr>
          <w:rFonts w:ascii="宋体" w:hAnsi="宋体" w:hint="eastAsia"/>
          <w:kern w:val="0"/>
          <w:sz w:val="24"/>
          <w:szCs w:val="24"/>
        </w:rPr>
        <w:t xml:space="preserve">              </w:t>
      </w:r>
    </w:p>
    <w:p w:rsidR="00D93CFE" w:rsidRDefault="00D93CFE" w:rsidP="00D93CFE">
      <w:pPr>
        <w:widowControl/>
        <w:spacing w:line="312" w:lineRule="auto"/>
        <w:ind w:firstLine="720"/>
        <w:jc w:val="right"/>
        <w:rPr>
          <w:rFonts w:ascii="宋体" w:hAnsi="宋体" w:hint="eastAsia"/>
          <w:kern w:val="0"/>
          <w:sz w:val="24"/>
          <w:szCs w:val="24"/>
        </w:rPr>
      </w:pPr>
      <w:r>
        <w:rPr>
          <w:rFonts w:ascii="宋体" w:hAnsi="宋体" w:hint="eastAsia"/>
          <w:kern w:val="0"/>
          <w:sz w:val="24"/>
          <w:szCs w:val="24"/>
        </w:rPr>
        <w:t>安徽建筑大学</w:t>
      </w:r>
    </w:p>
    <w:p w:rsidR="00D93CFE" w:rsidRDefault="00D93CFE" w:rsidP="00D93CFE">
      <w:pPr>
        <w:widowControl/>
        <w:spacing w:line="312" w:lineRule="auto"/>
        <w:jc w:val="right"/>
        <w:rPr>
          <w:rFonts w:ascii="宋体" w:hAnsi="宋体" w:hint="eastAsia"/>
          <w:kern w:val="0"/>
          <w:sz w:val="24"/>
          <w:szCs w:val="24"/>
        </w:rPr>
      </w:pPr>
      <w:r>
        <w:rPr>
          <w:rFonts w:ascii="宋体" w:hAnsi="宋体" w:hint="eastAsia"/>
          <w:kern w:val="0"/>
          <w:sz w:val="24"/>
          <w:szCs w:val="24"/>
        </w:rPr>
        <w:t xml:space="preserve">               2014年9月30日印发</w:t>
      </w:r>
    </w:p>
    <w:p w:rsidR="00A3623A" w:rsidRDefault="00D93CFE" w:rsidP="00D93CFE">
      <w:pPr>
        <w:widowControl/>
        <w:spacing w:line="312" w:lineRule="auto"/>
        <w:jc w:val="right"/>
      </w:pPr>
      <w:r>
        <w:rPr>
          <w:rFonts w:ascii="宋体" w:hAnsi="宋体" w:hint="eastAsia"/>
          <w:kern w:val="0"/>
          <w:sz w:val="24"/>
          <w:szCs w:val="24"/>
        </w:rPr>
        <w:t xml:space="preserve"> </w:t>
      </w:r>
    </w:p>
    <w:sectPr w:rsidR="00A3623A" w:rsidSect="00A3623A">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72965" w:rsidRDefault="00E72965" w:rsidP="00D93CFE">
      <w:r>
        <w:separator/>
      </w:r>
    </w:p>
  </w:endnote>
  <w:endnote w:type="continuationSeparator" w:id="1">
    <w:p w:rsidR="00E72965" w:rsidRDefault="00E72965" w:rsidP="00D93CF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8776077"/>
      <w:docPartObj>
        <w:docPartGallery w:val="Page Numbers (Bottom of Page)"/>
        <w:docPartUnique/>
      </w:docPartObj>
    </w:sdtPr>
    <w:sdtContent>
      <w:sdt>
        <w:sdtPr>
          <w:id w:val="171357217"/>
          <w:docPartObj>
            <w:docPartGallery w:val="Page Numbers (Top of Page)"/>
            <w:docPartUnique/>
          </w:docPartObj>
        </w:sdtPr>
        <w:sdtContent>
          <w:p w:rsidR="00D93CFE" w:rsidRDefault="00D93CFE">
            <w:pPr>
              <w:pStyle w:val="a4"/>
              <w:jc w:val="center"/>
            </w:pPr>
            <w:r>
              <w:rPr>
                <w:lang w:val="zh-CN"/>
              </w:rPr>
              <w:t xml:space="preserve"> </w:t>
            </w:r>
            <w:r>
              <w:rPr>
                <w:b/>
                <w:sz w:val="24"/>
                <w:szCs w:val="24"/>
              </w:rPr>
              <w:fldChar w:fldCharType="begin"/>
            </w:r>
            <w:r>
              <w:rPr>
                <w:b/>
              </w:rPr>
              <w:instrText>PAGE</w:instrText>
            </w:r>
            <w:r>
              <w:rPr>
                <w:b/>
                <w:sz w:val="24"/>
                <w:szCs w:val="24"/>
              </w:rPr>
              <w:fldChar w:fldCharType="separate"/>
            </w:r>
            <w:r>
              <w:rPr>
                <w:b/>
                <w:noProof/>
              </w:rPr>
              <w:t>7</w:t>
            </w:r>
            <w:r>
              <w:rPr>
                <w:b/>
                <w:sz w:val="24"/>
                <w:szCs w:val="24"/>
              </w:rPr>
              <w:fldChar w:fldCharType="end"/>
            </w:r>
            <w:r>
              <w:rPr>
                <w:lang w:val="zh-CN"/>
              </w:rPr>
              <w:t xml:space="preserve"> / </w:t>
            </w:r>
            <w:r>
              <w:rPr>
                <w:b/>
                <w:sz w:val="24"/>
                <w:szCs w:val="24"/>
              </w:rPr>
              <w:fldChar w:fldCharType="begin"/>
            </w:r>
            <w:r>
              <w:rPr>
                <w:b/>
              </w:rPr>
              <w:instrText>NUMPAGES</w:instrText>
            </w:r>
            <w:r>
              <w:rPr>
                <w:b/>
                <w:sz w:val="24"/>
                <w:szCs w:val="24"/>
              </w:rPr>
              <w:fldChar w:fldCharType="separate"/>
            </w:r>
            <w:r>
              <w:rPr>
                <w:b/>
                <w:noProof/>
              </w:rPr>
              <w:t>8</w:t>
            </w:r>
            <w:r>
              <w:rPr>
                <w:b/>
                <w:sz w:val="24"/>
                <w:szCs w:val="24"/>
              </w:rPr>
              <w:fldChar w:fldCharType="end"/>
            </w:r>
          </w:p>
        </w:sdtContent>
      </w:sdt>
    </w:sdtContent>
  </w:sdt>
  <w:p w:rsidR="00D93CFE" w:rsidRDefault="00D93CFE">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72965" w:rsidRDefault="00E72965" w:rsidP="00D93CFE">
      <w:r>
        <w:separator/>
      </w:r>
    </w:p>
  </w:footnote>
  <w:footnote w:type="continuationSeparator" w:id="1">
    <w:p w:rsidR="00E72965" w:rsidRDefault="00E72965" w:rsidP="00D93CF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D93CFE"/>
    <w:rsid w:val="00096408"/>
    <w:rsid w:val="000A1080"/>
    <w:rsid w:val="000E1882"/>
    <w:rsid w:val="000E7A08"/>
    <w:rsid w:val="000F2133"/>
    <w:rsid w:val="0017655F"/>
    <w:rsid w:val="001E7E41"/>
    <w:rsid w:val="002B6150"/>
    <w:rsid w:val="002D4642"/>
    <w:rsid w:val="002F4945"/>
    <w:rsid w:val="0030549D"/>
    <w:rsid w:val="00310E14"/>
    <w:rsid w:val="00342C77"/>
    <w:rsid w:val="00366033"/>
    <w:rsid w:val="00433B4C"/>
    <w:rsid w:val="00496A71"/>
    <w:rsid w:val="004F3000"/>
    <w:rsid w:val="005D27F0"/>
    <w:rsid w:val="005E3A59"/>
    <w:rsid w:val="0061534D"/>
    <w:rsid w:val="00625D90"/>
    <w:rsid w:val="00634E24"/>
    <w:rsid w:val="00662941"/>
    <w:rsid w:val="006E1215"/>
    <w:rsid w:val="00737A66"/>
    <w:rsid w:val="007550FB"/>
    <w:rsid w:val="007F0E23"/>
    <w:rsid w:val="00865A04"/>
    <w:rsid w:val="00915F8B"/>
    <w:rsid w:val="00A3623A"/>
    <w:rsid w:val="00A37CC4"/>
    <w:rsid w:val="00A858E2"/>
    <w:rsid w:val="00AE38EF"/>
    <w:rsid w:val="00AE5597"/>
    <w:rsid w:val="00B479CA"/>
    <w:rsid w:val="00B6428D"/>
    <w:rsid w:val="00BB03C8"/>
    <w:rsid w:val="00BD3B1A"/>
    <w:rsid w:val="00C44C6F"/>
    <w:rsid w:val="00C95D73"/>
    <w:rsid w:val="00CB13B4"/>
    <w:rsid w:val="00CC6D2A"/>
    <w:rsid w:val="00D77E2A"/>
    <w:rsid w:val="00D93CFE"/>
    <w:rsid w:val="00DB0F77"/>
    <w:rsid w:val="00DE197F"/>
    <w:rsid w:val="00E72965"/>
    <w:rsid w:val="00EA3200"/>
    <w:rsid w:val="00EB3C3E"/>
    <w:rsid w:val="00ED775D"/>
    <w:rsid w:val="00F365E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93CFE"/>
    <w:pPr>
      <w:widowControl w:val="0"/>
      <w:jc w:val="both"/>
    </w:pPr>
    <w:rPr>
      <w:rFonts w:ascii="Calibri" w:eastAsia="宋体" w:hAnsi="Calibri" w:cs="宋体"/>
      <w:szCs w:val="21"/>
    </w:rPr>
  </w:style>
  <w:style w:type="paragraph" w:styleId="2">
    <w:name w:val="heading 2"/>
    <w:basedOn w:val="a"/>
    <w:next w:val="a"/>
    <w:link w:val="2Char"/>
    <w:uiPriority w:val="99"/>
    <w:qFormat/>
    <w:rsid w:val="00D93CFE"/>
    <w:pPr>
      <w:keepNext/>
      <w:keepLines/>
      <w:spacing w:before="260" w:after="260" w:line="415" w:lineRule="auto"/>
      <w:outlineLvl w:val="1"/>
    </w:pPr>
    <w:rPr>
      <w:rFonts w:ascii="Cambria" w:hAnsi="Cambria"/>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9"/>
    <w:rsid w:val="00D93CFE"/>
    <w:rPr>
      <w:rFonts w:ascii="Cambria" w:eastAsia="宋体" w:hAnsi="Cambria" w:cs="宋体"/>
      <w:b/>
      <w:bCs/>
      <w:sz w:val="32"/>
      <w:szCs w:val="32"/>
    </w:rPr>
  </w:style>
  <w:style w:type="paragraph" w:styleId="a3">
    <w:name w:val="header"/>
    <w:basedOn w:val="a"/>
    <w:link w:val="Char"/>
    <w:uiPriority w:val="99"/>
    <w:semiHidden/>
    <w:unhideWhenUsed/>
    <w:rsid w:val="00D93CF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D93CFE"/>
    <w:rPr>
      <w:rFonts w:ascii="Calibri" w:eastAsia="宋体" w:hAnsi="Calibri" w:cs="宋体"/>
      <w:sz w:val="18"/>
      <w:szCs w:val="18"/>
    </w:rPr>
  </w:style>
  <w:style w:type="paragraph" w:styleId="a4">
    <w:name w:val="footer"/>
    <w:basedOn w:val="a"/>
    <w:link w:val="Char0"/>
    <w:uiPriority w:val="99"/>
    <w:unhideWhenUsed/>
    <w:rsid w:val="00D93CFE"/>
    <w:pPr>
      <w:tabs>
        <w:tab w:val="center" w:pos="4153"/>
        <w:tab w:val="right" w:pos="8306"/>
      </w:tabs>
      <w:snapToGrid w:val="0"/>
      <w:jc w:val="left"/>
    </w:pPr>
    <w:rPr>
      <w:sz w:val="18"/>
      <w:szCs w:val="18"/>
    </w:rPr>
  </w:style>
  <w:style w:type="character" w:customStyle="1" w:styleId="Char0">
    <w:name w:val="页脚 Char"/>
    <w:basedOn w:val="a0"/>
    <w:link w:val="a4"/>
    <w:uiPriority w:val="99"/>
    <w:rsid w:val="00D93CFE"/>
    <w:rPr>
      <w:rFonts w:ascii="Calibri" w:eastAsia="宋体" w:hAnsi="Calibri" w:cs="宋体"/>
      <w:sz w:val="18"/>
      <w:szCs w:val="18"/>
    </w:rPr>
  </w:style>
</w:styles>
</file>

<file path=word/webSettings.xml><?xml version="1.0" encoding="utf-8"?>
<w:webSettings xmlns:r="http://schemas.openxmlformats.org/officeDocument/2006/relationships" xmlns:w="http://schemas.openxmlformats.org/wordprocessingml/2006/main">
  <w:divs>
    <w:div w:id="1345980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993</Words>
  <Characters>5661</Characters>
  <Application>Microsoft Office Word</Application>
  <DocSecurity>0</DocSecurity>
  <Lines>47</Lines>
  <Paragraphs>13</Paragraphs>
  <ScaleCrop>false</ScaleCrop>
  <Company/>
  <LinksUpToDate>false</LinksUpToDate>
  <CharactersWithSpaces>6641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dc:creator>
  <cp:lastModifiedBy>eric</cp:lastModifiedBy>
  <cp:revision>1</cp:revision>
  <dcterms:created xsi:type="dcterms:W3CDTF">2017-10-12T11:43:00Z</dcterms:created>
  <dcterms:modified xsi:type="dcterms:W3CDTF">2017-10-12T11:43:00Z</dcterms:modified>
</cp:coreProperties>
</file>